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6039" w14:textId="1D696FCE" w:rsidR="0068762E" w:rsidRPr="00887F6C" w:rsidRDefault="00DB6E7E" w:rsidP="00826666">
      <w:pPr>
        <w:pStyle w:val="Pagedecouverture"/>
        <w:rPr>
          <w:noProof/>
        </w:rPr>
      </w:pPr>
      <w:r>
        <w:rPr>
          <w:noProof/>
        </w:rPr>
        <w:drawing>
          <wp:inline distT="0" distB="0" distL="0" distR="0" wp14:anchorId="7182D471" wp14:editId="06F5C3E9">
            <wp:extent cx="5781675" cy="4695825"/>
            <wp:effectExtent l="0" t="0" r="0" b="0"/>
            <wp:docPr id="1" name="Picture 1" descr="706072C3-9032-4EB3-A246-624CF728C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6072C3-9032-4EB3-A246-624CF728C5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1675" cy="4695825"/>
                    </a:xfrm>
                    <a:prstGeom prst="rect">
                      <a:avLst/>
                    </a:prstGeom>
                    <a:noFill/>
                    <a:ln>
                      <a:noFill/>
                    </a:ln>
                  </pic:spPr>
                </pic:pic>
              </a:graphicData>
            </a:graphic>
          </wp:inline>
        </w:drawing>
      </w:r>
    </w:p>
    <w:p w14:paraId="23954D3D" w14:textId="77777777" w:rsidR="004F546E" w:rsidRPr="00887F6C" w:rsidRDefault="004F546E" w:rsidP="004F546E">
      <w:pPr>
        <w:pStyle w:val="Pagedecouverture"/>
        <w:rPr>
          <w:noProof/>
        </w:rPr>
        <w:sectPr w:rsidR="004F546E" w:rsidRPr="00887F6C" w:rsidSect="00826666">
          <w:footerReference w:type="default" r:id="rId12"/>
          <w:pgSz w:w="11907" w:h="16839"/>
          <w:pgMar w:top="1134" w:right="1417" w:bottom="1134" w:left="1417" w:header="709" w:footer="709" w:gutter="0"/>
          <w:pgNumType w:start="0"/>
          <w:cols w:space="720"/>
          <w:docGrid w:linePitch="360"/>
        </w:sectPr>
      </w:pPr>
    </w:p>
    <w:p w14:paraId="31C0F188" w14:textId="77777777" w:rsidR="00C26153" w:rsidRPr="00887F6C" w:rsidRDefault="00C26153" w:rsidP="004831E6">
      <w:pPr>
        <w:pStyle w:val="Exposdesmotifstitre"/>
        <w:rPr>
          <w:noProof/>
        </w:rPr>
      </w:pPr>
      <w:r w:rsidRPr="00887F6C">
        <w:rPr>
          <w:noProof/>
        </w:rPr>
        <w:lastRenderedPageBreak/>
        <w:t>EXPUNERE DE MOTIVE</w:t>
      </w:r>
    </w:p>
    <w:p w14:paraId="51FEB61D" w14:textId="77777777" w:rsidR="00C26153" w:rsidRPr="00887F6C" w:rsidRDefault="00C26153" w:rsidP="004831E6">
      <w:pPr>
        <w:pStyle w:val="ManualHeading1"/>
        <w:rPr>
          <w:noProof/>
        </w:rPr>
      </w:pPr>
      <w:r w:rsidRPr="00887F6C">
        <w:rPr>
          <w:noProof/>
        </w:rPr>
        <w:t>1.</w:t>
      </w:r>
      <w:r w:rsidRPr="00887F6C">
        <w:rPr>
          <w:noProof/>
        </w:rPr>
        <w:tab/>
        <w:t>CONTEXTUL PROPUNERII</w:t>
      </w:r>
    </w:p>
    <w:p w14:paraId="339D49DB" w14:textId="77777777" w:rsidR="00C26153" w:rsidRPr="00887F6C" w:rsidRDefault="00C26153" w:rsidP="004831E6">
      <w:pPr>
        <w:pStyle w:val="ManualHeading2"/>
        <w:rPr>
          <w:rFonts w:eastAsia="Arial Unicode MS"/>
          <w:noProof/>
        </w:rPr>
      </w:pPr>
      <w:r w:rsidRPr="00887F6C">
        <w:rPr>
          <w:noProof/>
          <w:color w:val="000000"/>
          <w:u w:color="000000"/>
          <w:bdr w:val="nil"/>
        </w:rPr>
        <w:t>•</w:t>
      </w:r>
      <w:r w:rsidRPr="00887F6C">
        <w:rPr>
          <w:noProof/>
        </w:rPr>
        <w:tab/>
        <w:t>Motivele și obiectivele propunerii</w:t>
      </w:r>
    </w:p>
    <w:p w14:paraId="34272FCD" w14:textId="77777777" w:rsidR="295A68B6" w:rsidRPr="00887F6C" w:rsidRDefault="38687747" w:rsidP="6948CE82">
      <w:pPr>
        <w:pBdr>
          <w:bar w:val="nil"/>
        </w:pBdr>
        <w:rPr>
          <w:rFonts w:eastAsia="Times New Roman"/>
          <w:noProof/>
          <w:color w:val="000000" w:themeColor="text1"/>
        </w:rPr>
      </w:pPr>
      <w:r w:rsidRPr="00887F6C">
        <w:rPr>
          <w:noProof/>
          <w:color w:val="000000" w:themeColor="text1"/>
        </w:rPr>
        <w:t>Parteneriatul în domeniul cercetării și inovării în zona mediteraneeană (PRIMA) este un parteneriat european instituționalizat în temeiul articolului 185 din TFUE, instituit prin Decizia (UE) 2017/1324</w:t>
      </w:r>
      <w:r w:rsidRPr="00887F6C">
        <w:rPr>
          <w:rStyle w:val="Referinnotdesubsol"/>
          <w:rFonts w:eastAsia="Times New Roman"/>
          <w:noProof/>
          <w:color w:val="000000" w:themeColor="text1"/>
        </w:rPr>
        <w:footnoteReference w:id="2"/>
      </w:r>
      <w:r w:rsidRPr="00887F6C">
        <w:rPr>
          <w:noProof/>
          <w:color w:val="000000" w:themeColor="text1"/>
        </w:rPr>
        <w:t>, la care UE participă în cadrul unui un program de cercetare derulat în comun de mai multe state membre.</w:t>
      </w:r>
    </w:p>
    <w:p w14:paraId="5E618BC2" w14:textId="77777777" w:rsidR="295A68B6" w:rsidRPr="00887F6C" w:rsidRDefault="7A76994A" w:rsidP="3ECCADC3">
      <w:pPr>
        <w:pBdr>
          <w:bar w:val="nil"/>
        </w:pBdr>
        <w:rPr>
          <w:rFonts w:eastAsia="Times New Roman"/>
          <w:noProof/>
          <w:color w:val="000000" w:themeColor="text1"/>
        </w:rPr>
      </w:pPr>
      <w:r w:rsidRPr="00887F6C">
        <w:rPr>
          <w:noProof/>
          <w:color w:val="000000" w:themeColor="text1"/>
        </w:rPr>
        <w:t>PRIMA vizează consolidarea capacităților de cercetare și inovare și dezvoltarea cunoștințelor și a soluțiilor inovatoare comune pentru sistemele agroalimentare, pentru a le face sustenabile, precum și pentru alimentarea cu apă și gestionarea apei în manieră integrată în zona mediteraneeană. Atingerea acestui obiectiv strategic va face sistemele de aprovizionare cu apă și sistemele alimentare mai rezistente la schimbările climatice, mai eficiente, mai eficiente din punctul de vedere al costurilor și mai sustenabile din punct de vedere ecologic și social și va contribui la soluționarea în amonte a problemelor legate de deficitul de apă, securitatea alimentară, nutriție, sănătate, bunăstare și migrație.</w:t>
      </w:r>
    </w:p>
    <w:p w14:paraId="5F3B8BD5" w14:textId="77777777" w:rsidR="295A68B6" w:rsidRPr="00887F6C" w:rsidRDefault="295A68B6">
      <w:pPr>
        <w:rPr>
          <w:rFonts w:eastAsia="Times New Roman"/>
          <w:noProof/>
          <w:color w:val="000000" w:themeColor="text1"/>
          <w:szCs w:val="24"/>
        </w:rPr>
      </w:pPr>
      <w:r w:rsidRPr="00887F6C">
        <w:rPr>
          <w:noProof/>
          <w:color w:val="000000" w:themeColor="text1"/>
        </w:rPr>
        <w:t>PRIMA este formată în prezent din nouăsprezece state participante: unsprezece state membre ale UE (Croația, Cipru, Franța, Germania, Grecia, Italia, Luxemburg, Malta, Portugalia, Slovenia și Spania); trei țări asociate la programul Orizont 2020 (Israel, Tunisia și Turcia) și cinci țări terțe care nu sunt asociate la programul Orizont 2020 (Algeria, Egipt, Iordania, Liban și Maroc).</w:t>
      </w:r>
    </w:p>
    <w:p w14:paraId="0A705BF9" w14:textId="77777777" w:rsidR="295A68B6" w:rsidRPr="00887F6C" w:rsidRDefault="6AF73405" w:rsidP="3ECCADC3">
      <w:pPr>
        <w:rPr>
          <w:rFonts w:eastAsia="Times New Roman"/>
          <w:noProof/>
          <w:color w:val="000000" w:themeColor="text1"/>
        </w:rPr>
      </w:pPr>
      <w:r w:rsidRPr="00887F6C">
        <w:rPr>
          <w:noProof/>
          <w:color w:val="000000" w:themeColor="text1"/>
        </w:rPr>
        <w:t xml:space="preserve">PRIMA a început să funcționeze în 2018 în cadrul precedentului Program-cadru pentru cercetare și inovare (C&amp;I) Orizont 2020. Perioada activă de lansare a cererilor de propuneri în domeniul C&amp;I în cadrul programului Orizont 2020 va dura până în 2024. Contribuția totală prevăzută a Uniunii în cadrul programului Orizont 2020 se ridică la 220 de milioane EUR, iar angajamentele financiare inițiale ale statelor participante au depășit 270 de milioane EUR. În prezent, contribuția Uniunii provine din programul Orizont 2020. Până la sfârșitul anului 2022, PRIMA a finanțat 202 de proiecte colaborative de C&amp;I, cu un buget total de 285.7 milioane EUR, cu o contribuție de la bugetul Uniunii de 142,67 milioane EUR și cu o contribuție din partea statelor participante de 143,03 milioane EUR. </w:t>
      </w:r>
    </w:p>
    <w:p w14:paraId="13852106" w14:textId="77777777" w:rsidR="295A68B6" w:rsidRPr="00887F6C" w:rsidRDefault="25F2B871" w:rsidP="3ECCADC3">
      <w:pPr>
        <w:rPr>
          <w:rFonts w:eastAsia="Times New Roman"/>
          <w:noProof/>
          <w:color w:val="000000" w:themeColor="text1"/>
        </w:rPr>
      </w:pPr>
      <w:r w:rsidRPr="00887F6C">
        <w:rPr>
          <w:noProof/>
          <w:color w:val="000000" w:themeColor="text1"/>
        </w:rPr>
        <w:t>PRIMA a făcut obiectul unei evaluări intermediare în 2022, publicată la 31 mai 2023</w:t>
      </w:r>
      <w:r w:rsidRPr="00887F6C">
        <w:rPr>
          <w:rStyle w:val="Referinnotdesubsol"/>
          <w:rFonts w:eastAsia="Times New Roman"/>
          <w:noProof/>
          <w:color w:val="000000" w:themeColor="text1"/>
        </w:rPr>
        <w:footnoteReference w:id="3"/>
      </w:r>
      <w:r w:rsidRPr="00887F6C">
        <w:rPr>
          <w:noProof/>
          <w:color w:val="000000" w:themeColor="text1"/>
        </w:rPr>
        <w:t xml:space="preserve">. Potrivit raportului de evaluare intermediară, PRIMA s-a dovedit a fi un instrument eficace pentru colaborarea în domeniul C&amp;I în zona mediteraneeană, punând în aplicare principalele interese din domeniul C&amp;I în conformitate cu prioritățile geopolitice ale UE. Pe baza experienței lor pozitive, majoritatea statelor participante și-au declarat angajamentul pe termen lung față de această inițiativă și au solicitat continuarea participării UE sub forma actuală a unui parteneriat european instituționalizat în temeiul articolul 185 din TFUE. </w:t>
      </w:r>
    </w:p>
    <w:p w14:paraId="7550942E" w14:textId="77777777" w:rsidR="295A68B6" w:rsidRPr="00887F6C" w:rsidRDefault="6AF73405" w:rsidP="3ECCADC3">
      <w:pPr>
        <w:rPr>
          <w:rFonts w:eastAsia="Times New Roman"/>
          <w:noProof/>
          <w:color w:val="000000" w:themeColor="text1"/>
        </w:rPr>
      </w:pPr>
      <w:r w:rsidRPr="00887F6C">
        <w:rPr>
          <w:noProof/>
          <w:color w:val="000000" w:themeColor="text1"/>
        </w:rPr>
        <w:t xml:space="preserve">Prezenta propunere de modificare a Deciziei 2017/1324 (actul de bază al PRIMA) constituie o extindere a funcționării active (publicarea cererilor de propuneri în domeniul C&amp;I) până în 2027 în cadrul actualului program-cadru în domeniul C&amp;I – Orizont Europa. Modificarea va prevedea un buget suplimentar, atât din contribuția financiară a UE din programul Orizont </w:t>
      </w:r>
      <w:r w:rsidRPr="00887F6C">
        <w:rPr>
          <w:noProof/>
          <w:color w:val="000000" w:themeColor="text1"/>
        </w:rPr>
        <w:lastRenderedPageBreak/>
        <w:t>Europa, cât și din contribuțiile financiare ale statelor participante, pentru a asigura continuarea activităților la nivelul actual pentru încă trei ani. Normele de funcționare ale PRIMA vor fi adaptate la normele programului Orizont Europa, inclusiv o mai bună protecție a intereselor financiare ale Uniunii, o mai bună monitorizare și raportare. Extinderea fazei active a PRIMA până în 2027 va alinia această inițiativă la ciclul programului Orizont Europa.</w:t>
      </w:r>
    </w:p>
    <w:p w14:paraId="2F51A0F9" w14:textId="77777777" w:rsidR="1879142D" w:rsidRPr="00887F6C" w:rsidRDefault="6AF73405" w:rsidP="00ED5C64">
      <w:pPr>
        <w:pBdr>
          <w:top w:val="nil"/>
          <w:left w:val="nil"/>
          <w:bottom w:val="nil"/>
          <w:right w:val="nil"/>
          <w:between w:val="nil"/>
          <w:bar w:val="nil"/>
        </w:pBdr>
        <w:spacing w:after="240"/>
        <w:rPr>
          <w:noProof/>
        </w:rPr>
      </w:pPr>
      <w:r w:rsidRPr="00887F6C">
        <w:rPr>
          <w:noProof/>
          <w:color w:val="000000" w:themeColor="text1"/>
        </w:rPr>
        <w:t>Modificarea actului de bază al PRIMA va permite activităților extinse ale PRIMA să continue urmărirea obiectivelor actuale de abordare a provocărilor existente și emergente legate de sistemele acvatice, agricole și alimentare din regiunea mediteraneeană, promovând în același timp diplomația științifică, facilitând alinierea politicilor naționale în materie de C&amp;I și facilitând colaborarea științifică internațională. Accentul tematic a devenit și mai relevant în ultimii ani, din cauza efectelor tot mai mari ale schimbărilor climatice, a efectelor pandemiei de COVID-19 și a efectului destabilizator al agresiunii ilegale și nejustificate a Rusiei împotriva Ucrainei asupra piețelor agricole fragile din mai multe țări mediteraneene.</w:t>
      </w:r>
    </w:p>
    <w:p w14:paraId="69993876" w14:textId="77777777" w:rsidR="00C26153" w:rsidRPr="00887F6C" w:rsidRDefault="00C26153" w:rsidP="004831E6">
      <w:pPr>
        <w:pStyle w:val="ManualHeading2"/>
        <w:rPr>
          <w:rFonts w:eastAsia="Arial Unicode MS"/>
          <w:noProof/>
          <w:color w:val="000000" w:themeColor="text1"/>
          <w:u w:color="000000"/>
          <w:bdr w:val="nil"/>
        </w:rPr>
      </w:pPr>
      <w:r w:rsidRPr="00887F6C">
        <w:rPr>
          <w:noProof/>
          <w:color w:val="000000" w:themeColor="text1"/>
          <w:u w:color="000000"/>
          <w:bdr w:val="nil"/>
        </w:rPr>
        <w:t>•</w:t>
      </w:r>
      <w:r w:rsidRPr="00887F6C">
        <w:rPr>
          <w:noProof/>
        </w:rPr>
        <w:tab/>
      </w:r>
      <w:r w:rsidRPr="00887F6C">
        <w:rPr>
          <w:noProof/>
          <w:color w:val="000000" w:themeColor="text1"/>
        </w:rPr>
        <w:t>Coerența cu dispozițiile deja existente în domeniul de politică vizat</w:t>
      </w:r>
    </w:p>
    <w:p w14:paraId="3617F610" w14:textId="77777777" w:rsidR="00C26153" w:rsidRPr="00887F6C" w:rsidRDefault="5BA54A33" w:rsidP="119E42A3">
      <w:pPr>
        <w:pBdr>
          <w:bar w:val="nil"/>
        </w:pBdr>
        <w:rPr>
          <w:rFonts w:eastAsia="Times New Roman"/>
          <w:noProof/>
          <w:color w:val="000000" w:themeColor="text1"/>
        </w:rPr>
      </w:pPr>
      <w:r w:rsidRPr="00887F6C">
        <w:rPr>
          <w:noProof/>
          <w:color w:val="000000" w:themeColor="text1"/>
        </w:rPr>
        <w:t>Domeniile tematice și obiectivele parteneriatului PRIMA în sensul Deciziei (UE) 2017/1324 rămân neschimbate. Accentul tematic pus pe sistemele acvatice, agricole și alimentare în concordanță cu prioritățile actuale ale UE, în special cu Pactul verde european</w:t>
      </w:r>
      <w:r w:rsidRPr="00887F6C">
        <w:rPr>
          <w:rStyle w:val="Referinnotdesubsol"/>
          <w:rFonts w:eastAsia="Times New Roman"/>
          <w:noProof/>
          <w:color w:val="000000" w:themeColor="text1"/>
        </w:rPr>
        <w:footnoteReference w:id="4"/>
      </w:r>
      <w:r w:rsidRPr="00887F6C">
        <w:rPr>
          <w:noProof/>
          <w:color w:val="000000" w:themeColor="text1"/>
        </w:rPr>
        <w:t xml:space="preserve"> și cu strategia conexă „De la fermă la consumator”</w:t>
      </w:r>
      <w:r w:rsidRPr="00887F6C">
        <w:rPr>
          <w:rStyle w:val="Referinnotdesubsol"/>
          <w:rFonts w:eastAsia="Times New Roman"/>
          <w:noProof/>
          <w:color w:val="000000" w:themeColor="text1"/>
        </w:rPr>
        <w:footnoteReference w:id="5"/>
      </w:r>
      <w:r w:rsidRPr="00887F6C">
        <w:rPr>
          <w:noProof/>
          <w:color w:val="000000" w:themeColor="text1"/>
        </w:rPr>
        <w:t>, precum și cu Strategia privind adaptarea la schimbările climatice</w:t>
      </w:r>
      <w:r w:rsidRPr="00887F6C">
        <w:rPr>
          <w:rStyle w:val="Referinnotdesubsol"/>
          <w:rFonts w:eastAsia="Times New Roman"/>
          <w:noProof/>
          <w:color w:val="000000" w:themeColor="text1"/>
        </w:rPr>
        <w:footnoteReference w:id="6"/>
      </w:r>
      <w:r w:rsidRPr="00887F6C">
        <w:rPr>
          <w:noProof/>
          <w:color w:val="000000" w:themeColor="text1"/>
        </w:rPr>
        <w:t xml:space="preserve"> și Planul de acțiune privind reducerea la zero a poluării</w:t>
      </w:r>
      <w:r w:rsidRPr="00887F6C">
        <w:rPr>
          <w:rStyle w:val="Referinnotdesubsol"/>
          <w:rFonts w:eastAsia="Times New Roman"/>
          <w:noProof/>
          <w:color w:val="000000" w:themeColor="text1"/>
        </w:rPr>
        <w:footnoteReference w:id="7"/>
      </w:r>
      <w:r w:rsidRPr="00887F6C">
        <w:rPr>
          <w:noProof/>
          <w:color w:val="000000" w:themeColor="text1"/>
        </w:rPr>
        <w:t>. Obiectivele PRIMA sunt, în plus, bine aliniate la obiectivele Strategiei UE în domeniul bioeconomie</w:t>
      </w:r>
      <w:r w:rsidRPr="00887F6C">
        <w:rPr>
          <w:rStyle w:val="Referinnotdesubsol"/>
          <w:rFonts w:eastAsia="Times New Roman"/>
          <w:noProof/>
          <w:color w:val="000000" w:themeColor="text1"/>
        </w:rPr>
        <w:footnoteReference w:id="8"/>
      </w:r>
      <w:r w:rsidRPr="00887F6C">
        <w:rPr>
          <w:noProof/>
          <w:color w:val="000000" w:themeColor="text1"/>
        </w:rPr>
        <w:t xml:space="preserve">. </w:t>
      </w:r>
    </w:p>
    <w:p w14:paraId="50478C91" w14:textId="77777777" w:rsidR="64D407E4" w:rsidRPr="00887F6C" w:rsidRDefault="64D407E4" w:rsidP="664F17C4">
      <w:pPr>
        <w:rPr>
          <w:rFonts w:eastAsia="Times New Roman"/>
          <w:noProof/>
          <w:color w:val="000000" w:themeColor="text1"/>
        </w:rPr>
      </w:pPr>
      <w:r w:rsidRPr="00887F6C">
        <w:rPr>
          <w:noProof/>
          <w:color w:val="000000" w:themeColor="text1"/>
        </w:rPr>
        <w:t>Programul C&amp;I Orizont Europa este menit să contribuie la Pactul verde european, iar parteneriatul PRIMA este un instrument specific pentru o contribuție eficace la o serie de obiective ale Pactului verde. Parteneriatul PRIMA este în conformitate în special cu obiectivele clusterului (vi) al programului Orizont Europa: „Alimente, bioeconomie, resurse naturale, agricultură și mediu”. Agenda strategică de cercetare și inovare a PRIMA este pe deplin compatibilă cu planul strategic al clusterului (vi). Programele de lucru anuale ale PRIMA sunt strâns coordonate cu clusterul (vi) care face parte din programele de lucru ale programului Orizont Europa și cu documentele de programare ale misiunilor europene</w:t>
      </w:r>
      <w:r w:rsidRPr="00887F6C">
        <w:rPr>
          <w:rStyle w:val="Referinnotdesubsol"/>
          <w:rFonts w:eastAsia="Times New Roman"/>
          <w:noProof/>
          <w:color w:val="000000" w:themeColor="text1"/>
        </w:rPr>
        <w:footnoteReference w:id="9"/>
      </w:r>
      <w:r w:rsidRPr="00887F6C">
        <w:rPr>
          <w:noProof/>
          <w:color w:val="000000" w:themeColor="text1"/>
        </w:rPr>
        <w:t xml:space="preserve"> „Un pactul solului pentru Europa”, „Refacerea oceanelor și a apelor noastre” și „Adaptarea la schimbările climatice”, pentru a asigura complementaritatea și sinergiile.</w:t>
      </w:r>
    </w:p>
    <w:p w14:paraId="63E87ED3" w14:textId="77777777" w:rsidR="64D407E4" w:rsidRPr="00887F6C" w:rsidRDefault="4D2ADA5F" w:rsidP="3ECCADC3">
      <w:pPr>
        <w:rPr>
          <w:rFonts w:eastAsia="Times New Roman"/>
          <w:noProof/>
          <w:color w:val="000000" w:themeColor="text1"/>
        </w:rPr>
      </w:pPr>
      <w:r w:rsidRPr="00887F6C">
        <w:rPr>
          <w:noProof/>
          <w:color w:val="000000" w:themeColor="text1"/>
        </w:rPr>
        <w:t xml:space="preserve">Propunerea de extindere a PRIMA este în concordanță cu criteriile și normele pentru parteneriatele europene instituționalizate prevăzute în Regulamentul privind programul Orizont </w:t>
      </w:r>
      <w:r w:rsidRPr="00887F6C">
        <w:rPr>
          <w:noProof/>
          <w:color w:val="000000" w:themeColor="text1"/>
        </w:rPr>
        <w:lastRenderedPageBreak/>
        <w:t>Europa</w:t>
      </w:r>
      <w:r w:rsidRPr="00887F6C">
        <w:rPr>
          <w:rStyle w:val="Referinnotdesubsol"/>
          <w:rFonts w:eastAsia="Times New Roman"/>
          <w:noProof/>
          <w:color w:val="000000" w:themeColor="text1"/>
        </w:rPr>
        <w:footnoteReference w:id="10"/>
      </w:r>
      <w:r w:rsidRPr="00887F6C">
        <w:rPr>
          <w:noProof/>
          <w:color w:val="000000" w:themeColor="text1"/>
        </w:rPr>
        <w:t>. În particular, ea respectă noile cerințe pentru parteneriatele prevăzute la articolul 185 din TFUE introduse prin Regulamentul privind programul Orizont Europa.</w:t>
      </w:r>
    </w:p>
    <w:p w14:paraId="695650EC" w14:textId="77777777" w:rsidR="64D407E4" w:rsidRPr="00887F6C" w:rsidRDefault="64D407E4" w:rsidP="00CB32EC">
      <w:pPr>
        <w:rPr>
          <w:rFonts w:eastAsia="Times New Roman"/>
          <w:noProof/>
          <w:color w:val="000000" w:themeColor="text1"/>
          <w:szCs w:val="24"/>
        </w:rPr>
      </w:pPr>
      <w:r w:rsidRPr="00887F6C">
        <w:rPr>
          <w:noProof/>
          <w:color w:val="000000" w:themeColor="text1"/>
        </w:rPr>
        <w:t>Condiția privind pragul obligatoriu de participare de cel puțin 40 % dintre statele membre prevăzută în anexa III este îndeplinită, întrucât unsprezece state membre, reprezentând 41 % din statele membre ale UE, participă la PRIMA.</w:t>
      </w:r>
    </w:p>
    <w:p w14:paraId="2F6B59A2" w14:textId="77777777" w:rsidR="64D407E4" w:rsidRPr="00887F6C" w:rsidRDefault="5929E6F6" w:rsidP="00CB32EC">
      <w:pPr>
        <w:rPr>
          <w:rFonts w:eastAsia="Times New Roman"/>
          <w:noProof/>
          <w:color w:val="000000" w:themeColor="text1"/>
          <w:szCs w:val="24"/>
        </w:rPr>
      </w:pPr>
      <w:r w:rsidRPr="00887F6C">
        <w:rPr>
          <w:noProof/>
          <w:color w:val="000000" w:themeColor="text1"/>
        </w:rPr>
        <w:t>Angajamentul pe termen lung al partenerilor, astfel cum se prevede în anexa III punctul 1 litera (d), a fost demonstrat la lansarea parteneriatului PRIMA atunci când majoritatea statelor participante s-au angajat să susțină perioada de finanțare de zece ani. Statele participante și-au reiterat angajamentul în declarația reuniunii ministeriale a Uniunii pentru Mediterana, din iulie 2022</w:t>
      </w:r>
      <w:r w:rsidRPr="00887F6C">
        <w:rPr>
          <w:rStyle w:val="Referinnotdesubsol"/>
          <w:rFonts w:eastAsia="Times New Roman"/>
          <w:noProof/>
          <w:color w:val="000000" w:themeColor="text1"/>
          <w:szCs w:val="24"/>
        </w:rPr>
        <w:footnoteReference w:id="11"/>
      </w:r>
      <w:r w:rsidRPr="00887F6C">
        <w:rPr>
          <w:noProof/>
          <w:color w:val="000000" w:themeColor="text1"/>
        </w:rPr>
        <w:t xml:space="preserve">, în scrisorile lor către Comisie și în declarațiile lor din cadrul Consiliului Competitivitate, din decembrie 2022. </w:t>
      </w:r>
    </w:p>
    <w:p w14:paraId="445A64E8" w14:textId="77777777" w:rsidR="64D407E4" w:rsidRPr="00887F6C" w:rsidRDefault="4F5B0FA5" w:rsidP="00ED5C64">
      <w:pPr>
        <w:spacing w:after="240"/>
        <w:rPr>
          <w:rFonts w:eastAsia="Times New Roman"/>
          <w:noProof/>
          <w:color w:val="000000" w:themeColor="text1"/>
        </w:rPr>
      </w:pPr>
      <w:r w:rsidRPr="00887F6C">
        <w:rPr>
          <w:noProof/>
          <w:color w:val="000000" w:themeColor="text1"/>
        </w:rPr>
        <w:t>Parteneriatul PRIMA se încadrează în sfera de cuprindere a domeniilor tematice pentru parteneriatele europene instituționalizate definite în anexa VI la Regulamentul privind programul Orizont Europa, în special în domeniul de parteneriat 5 „Soluții ecologice sustenabile, favorabile incluziunii și circulare”, întrucât sistemele acvatice, agricole și alimentare fac parte integrantă din bioeconomie și din biosisteme.</w:t>
      </w:r>
    </w:p>
    <w:p w14:paraId="5ADDF5F1" w14:textId="77777777" w:rsidR="00C26153" w:rsidRPr="00887F6C" w:rsidRDefault="00C26153" w:rsidP="004831E6">
      <w:pPr>
        <w:pStyle w:val="ManualHeading2"/>
        <w:rPr>
          <w:rFonts w:eastAsia="Arial Unicode MS"/>
          <w:noProof/>
          <w:color w:val="000000" w:themeColor="text1"/>
        </w:rPr>
      </w:pPr>
      <w:r w:rsidRPr="00887F6C">
        <w:rPr>
          <w:noProof/>
          <w:color w:val="000000" w:themeColor="text1"/>
          <w:u w:color="000000"/>
          <w:bdr w:val="nil"/>
        </w:rPr>
        <w:t>•</w:t>
      </w:r>
      <w:r w:rsidRPr="00887F6C">
        <w:rPr>
          <w:noProof/>
        </w:rPr>
        <w:tab/>
      </w:r>
      <w:r w:rsidRPr="00887F6C">
        <w:rPr>
          <w:noProof/>
          <w:color w:val="000000" w:themeColor="text1"/>
        </w:rPr>
        <w:t>Coerența cu alte politici ale Uniunii</w:t>
      </w:r>
    </w:p>
    <w:p w14:paraId="1030FA57" w14:textId="77777777" w:rsidR="00C26153" w:rsidRPr="00887F6C" w:rsidRDefault="283550F9" w:rsidP="664F17C4">
      <w:pPr>
        <w:pBdr>
          <w:bar w:val="nil"/>
        </w:pBdr>
        <w:rPr>
          <w:rFonts w:eastAsia="Times New Roman"/>
          <w:noProof/>
          <w:color w:val="000000" w:themeColor="text1"/>
        </w:rPr>
      </w:pPr>
      <w:r w:rsidRPr="00887F6C">
        <w:rPr>
          <w:noProof/>
          <w:color w:val="000000" w:themeColor="text1"/>
        </w:rPr>
        <w:t>PRIMA dezvoltă și demonstrează soluții inovatoare care sprijină punerea în aplicare a mai multor politici ale UE. Proiectele finanțate de PRIMA, cu accent tematic pe apă, agricultură și alimente, contribuie la obiectivele politicilor sectoriale, cum ar fi politica în domeniul apei, în particular Directiva-cadru privind apa</w:t>
      </w:r>
      <w:r w:rsidRPr="00887F6C">
        <w:rPr>
          <w:rStyle w:val="Referinnotdesubsol"/>
          <w:rFonts w:eastAsia="Times New Roman"/>
          <w:noProof/>
          <w:color w:val="000000" w:themeColor="text1"/>
        </w:rPr>
        <w:footnoteReference w:id="12"/>
      </w:r>
      <w:r w:rsidRPr="00887F6C">
        <w:rPr>
          <w:noProof/>
          <w:color w:val="000000" w:themeColor="text1"/>
        </w:rPr>
        <w:t>, Politica agricolă comună, Strategia în domeniul bioeconomiei, Strategia privind adaptarea la schimbările climatice și Planul de acțiune pentru economia circulară</w:t>
      </w:r>
      <w:r w:rsidRPr="00887F6C">
        <w:rPr>
          <w:rStyle w:val="Referinnotdesubsol"/>
          <w:rFonts w:eastAsia="Times New Roman"/>
          <w:noProof/>
          <w:color w:val="000000" w:themeColor="text1"/>
        </w:rPr>
        <w:footnoteReference w:id="13"/>
      </w:r>
      <w:r w:rsidRPr="00887F6C">
        <w:rPr>
          <w:noProof/>
          <w:color w:val="000000" w:themeColor="text1"/>
        </w:rPr>
        <w:t xml:space="preserve">. </w:t>
      </w:r>
    </w:p>
    <w:p w14:paraId="4200A2A3" w14:textId="77777777" w:rsidR="283550F9" w:rsidRPr="00887F6C" w:rsidRDefault="00F63338" w:rsidP="3ECCADC3">
      <w:pPr>
        <w:rPr>
          <w:rFonts w:eastAsia="Times New Roman"/>
          <w:noProof/>
          <w:color w:val="000000" w:themeColor="text1"/>
        </w:rPr>
      </w:pPr>
      <w:r w:rsidRPr="00887F6C">
        <w:rPr>
          <w:noProof/>
          <w:color w:val="000000" w:themeColor="text1"/>
        </w:rPr>
        <w:t>Ca instrument de colaborare internațională, PRIMA consolidează cooperarea regională strategică pe termen lung dintre UE și regiunea sud-mediteraneeană, în conformitate cu cadrul de cooperare al UE cu țările din vecinătatea sudică, astfel cum este exprimat în Comunicarea comună pentru o nouă agendă pentru Mediterana</w:t>
      </w:r>
      <w:r w:rsidRPr="00887F6C">
        <w:rPr>
          <w:rStyle w:val="Referinnotdesubsol"/>
          <w:rFonts w:eastAsia="Times New Roman"/>
          <w:noProof/>
          <w:color w:val="000000" w:themeColor="text1"/>
        </w:rPr>
        <w:footnoteReference w:id="14"/>
      </w:r>
      <w:r w:rsidRPr="00887F6C">
        <w:rPr>
          <w:noProof/>
          <w:color w:val="000000" w:themeColor="text1"/>
        </w:rPr>
        <w:t xml:space="preserve"> și în planul său economic și de investiții, precum și dialogul în materie de politică regională cu partenerii mediteraneeni, girat în cadrul Platformei regionale pentru cercetare și inovare a Uniunii pentru Mediterana (UpM). Noua agendă pentru Mediterana stabilește obiective pentru anii următori vizând construirea unei societăți mai echitabile, mai prospere și mai favorabile incluziunii, în beneficiul oamenilor, în special al tinerilor, în cadrul căreia C&amp;I reprezintă este un element esențial.</w:t>
      </w:r>
    </w:p>
    <w:p w14:paraId="2D6C288C" w14:textId="77777777" w:rsidR="283550F9" w:rsidRPr="00887F6C" w:rsidRDefault="00F63338" w:rsidP="3ECCADC3">
      <w:pPr>
        <w:rPr>
          <w:rFonts w:eastAsia="Times New Roman"/>
          <w:noProof/>
          <w:color w:val="000000" w:themeColor="text1"/>
        </w:rPr>
      </w:pPr>
      <w:r w:rsidRPr="00887F6C">
        <w:rPr>
          <w:noProof/>
          <w:color w:val="000000" w:themeColor="text1"/>
        </w:rPr>
        <w:t xml:space="preserve">În contextul foilor de parcurs ale Uniunii pentru Mediterana în domeniul C&amp;I, parteneriatul PRIMA va fi esențial pentru punerea în aplicare a foii de parcurs privind schimbările climatice, astfel cum s-a recunoscut în Declarația ministerială a Uniunii pentru Mediterana privind C&amp;I, din 2022. </w:t>
      </w:r>
    </w:p>
    <w:p w14:paraId="295C5AD4" w14:textId="77777777" w:rsidR="283550F9" w:rsidRPr="00887F6C" w:rsidRDefault="00F63338" w:rsidP="3ECCADC3">
      <w:pPr>
        <w:rPr>
          <w:rFonts w:eastAsia="Times New Roman"/>
          <w:noProof/>
          <w:color w:val="000000" w:themeColor="text1"/>
        </w:rPr>
      </w:pPr>
      <w:r w:rsidRPr="00887F6C">
        <w:rPr>
          <w:noProof/>
          <w:color w:val="000000" w:themeColor="text1"/>
        </w:rPr>
        <w:lastRenderedPageBreak/>
        <w:t>PRIMA sprijină și punerea în aplicare a Abordării globale a UE a C&amp;I</w:t>
      </w:r>
      <w:r w:rsidRPr="00887F6C">
        <w:rPr>
          <w:rStyle w:val="Referinnotdesubsol"/>
          <w:rFonts w:eastAsia="Times New Roman"/>
          <w:noProof/>
          <w:color w:val="000000" w:themeColor="text1"/>
        </w:rPr>
        <w:footnoteReference w:id="15"/>
      </w:r>
      <w:r w:rsidRPr="00887F6C">
        <w:rPr>
          <w:noProof/>
          <w:color w:val="000000" w:themeColor="text1"/>
        </w:rPr>
        <w:t>, care acordă prioritate regiunii mediteraneene ca fiind una dintre regiunile sale de cooperare.</w:t>
      </w:r>
    </w:p>
    <w:p w14:paraId="571533EE" w14:textId="77777777" w:rsidR="283550F9" w:rsidRPr="00887F6C" w:rsidRDefault="37D37408" w:rsidP="664F17C4">
      <w:pPr>
        <w:rPr>
          <w:rFonts w:eastAsia="Times New Roman"/>
          <w:noProof/>
          <w:color w:val="000000" w:themeColor="text1"/>
        </w:rPr>
      </w:pPr>
      <w:r w:rsidRPr="00887F6C">
        <w:rPr>
          <w:noProof/>
        </w:rPr>
        <w:t>Contribuind la soluționarea problemelor legate de deficitul de apă, de securitatea alimentară, de nutriție, sănătate, bunăstare și migrație, PRIMA va sprijini în mod semnificativ punerea în aplicare a Agendei 2030 a Organizației Națiunilor Unite pentru dezvoltare durabilă, în special a obiectivului de dezvoltare durabilă (ODD) 2 (Fără foamete), a ODD 6 (Apă curată și salubritate), a ODD 10 (Reducerea inegalităților) și a ODD 12 (Consum și producție responsabile), în special în regiunea mediteraneeană.</w:t>
      </w:r>
    </w:p>
    <w:p w14:paraId="63762526" w14:textId="77777777" w:rsidR="283550F9" w:rsidRPr="00887F6C" w:rsidRDefault="00F63338" w:rsidP="3ECCADC3">
      <w:pPr>
        <w:rPr>
          <w:rFonts w:eastAsia="Times New Roman"/>
          <w:noProof/>
          <w:color w:val="000000" w:themeColor="text1"/>
        </w:rPr>
      </w:pPr>
      <w:r w:rsidRPr="00887F6C">
        <w:rPr>
          <w:noProof/>
          <w:color w:val="000000" w:themeColor="text1"/>
        </w:rPr>
        <w:t xml:space="preserve">Prin abordarea interconexiunilor dintre apă, energie și alimente, precum și a dependenței și a impactului lor asupra ecosistemelor, PRIMA joacă un rol important în accelerarea tranziției atât de necesare către o economie verde în regiunea mediteraneeană, promovând soluții de dezvoltare verde și sustenabilă pentru a spori reziliența la schimbările climatice, contribuind astfel la obiectivele Pactului verde european în regiune. Mai precis, activitățile PRIMA din cadrul domeniului tematic al gestionării apei contribuie la realizarea obiectivelor Pactului verde european legate de Planul de acțiune privind reducerea la zero a poluării, de Strategia privind biodiversitatea și de viitorul Plan de acțiune privind gestionarea integrată a </w:t>
      </w:r>
      <w:r w:rsidR="00887F6C" w:rsidRPr="00887F6C">
        <w:rPr>
          <w:noProof/>
          <w:color w:val="000000" w:themeColor="text1"/>
        </w:rPr>
        <w:t>nutrienţilor</w:t>
      </w:r>
      <w:r w:rsidRPr="00887F6C">
        <w:rPr>
          <w:noProof/>
          <w:color w:val="000000" w:themeColor="text1"/>
        </w:rPr>
        <w:t>, în timp ce activitățile legate de domeniile tematice privind sistemele agricole și lanțul valoric alimentar vor sprijini punerea în aplicare a Strategiei „De la fermă la consumator”.</w:t>
      </w:r>
    </w:p>
    <w:p w14:paraId="467C0E07" w14:textId="77777777" w:rsidR="283550F9" w:rsidRPr="00887F6C" w:rsidRDefault="00F63338" w:rsidP="3ECCADC3">
      <w:pPr>
        <w:rPr>
          <w:rFonts w:eastAsia="Times New Roman"/>
          <w:noProof/>
          <w:color w:val="000000" w:themeColor="text1"/>
        </w:rPr>
      </w:pPr>
      <w:r w:rsidRPr="00887F6C">
        <w:rPr>
          <w:noProof/>
          <w:color w:val="000000" w:themeColor="text1"/>
        </w:rPr>
        <w:t>PRIMA explorează în continuare sinergii promițătoare cu alte instrumente ale programului Orizont Europa, de exemplu misiunile Orizont Europa, în special misiunile „Un pact al solului pentru Europa” și „Salvați oceanele și apele noastre până în 2030”. PRIMA prevede partajarea cunoștințelor, a infrastructurii și a rețelei sale cu partenerii relevanți pentru a sprijini misiunile prin conceperea unor acțiuni comune specifice (de exemplu, cereri de propuneri coordonate cu misiunea Orizont Europa „Un pact al solului pentru Europa” în planurile anuale de lucru ale PRIMA). PRIMA poate consolida și mai mult dimensiunea internațională a parteneriatelor Orizont Europa</w:t>
      </w:r>
      <w:r w:rsidRPr="00887F6C">
        <w:rPr>
          <w:rStyle w:val="Referinnotdesubsol"/>
          <w:rFonts w:eastAsia="Times New Roman"/>
          <w:noProof/>
          <w:color w:val="000000" w:themeColor="text1"/>
        </w:rPr>
        <w:footnoteReference w:id="16"/>
      </w:r>
      <w:r w:rsidRPr="00887F6C">
        <w:rPr>
          <w:noProof/>
          <w:color w:val="000000" w:themeColor="text1"/>
        </w:rPr>
        <w:t xml:space="preserve">: Sisteme alimentare sustenabile pentru oameni, planetă și climă; Securitatea apei pentru planetă; Laboratoare vii agroecologice și infrastructuri de cercetare; Agricultura datelor; Sănătatea și bunăstarea animalelor. </w:t>
      </w:r>
    </w:p>
    <w:p w14:paraId="2032F99D" w14:textId="77777777" w:rsidR="283550F9" w:rsidRPr="00887F6C" w:rsidRDefault="283550F9" w:rsidP="00ED5C64">
      <w:pPr>
        <w:spacing w:after="480"/>
        <w:rPr>
          <w:rFonts w:eastAsia="Times New Roman"/>
          <w:noProof/>
          <w:color w:val="000000" w:themeColor="text1"/>
          <w:szCs w:val="24"/>
        </w:rPr>
      </w:pPr>
      <w:r w:rsidRPr="00887F6C">
        <w:rPr>
          <w:noProof/>
          <w:color w:val="000000" w:themeColor="text1"/>
        </w:rPr>
        <w:t>PRIMA este complementară și priorității vizând Securitatea alimentară și nutrițională și agricultura durabilă (FNSSA) a dialogului politic la nivel înalt UE-Uniunea Africană privind cooperarea în materie de cercetare și inovare. Prioritatea FNSSA deschide calea partenerilor PRIMA pentru continuarea colaborării panafricane și transeuropene.</w:t>
      </w:r>
    </w:p>
    <w:p w14:paraId="5E9EB20F" w14:textId="77777777" w:rsidR="00C26153" w:rsidRPr="00887F6C" w:rsidRDefault="00C26153" w:rsidP="004831E6">
      <w:pPr>
        <w:pStyle w:val="ManualHeading1"/>
        <w:rPr>
          <w:noProof/>
          <w:color w:val="000000" w:themeColor="text1"/>
        </w:rPr>
      </w:pPr>
      <w:r w:rsidRPr="00887F6C">
        <w:rPr>
          <w:noProof/>
          <w:color w:val="000000" w:themeColor="text1"/>
        </w:rPr>
        <w:t>2.</w:t>
      </w:r>
      <w:r w:rsidRPr="00887F6C">
        <w:rPr>
          <w:noProof/>
        </w:rPr>
        <w:tab/>
      </w:r>
      <w:r w:rsidRPr="00887F6C">
        <w:rPr>
          <w:noProof/>
          <w:color w:val="000000" w:themeColor="text1"/>
        </w:rPr>
        <w:t>TEMEI JURIDIC, SUBSIDIARITATE ȘI PROPORȚIONALITATE</w:t>
      </w:r>
    </w:p>
    <w:p w14:paraId="0921C1DE" w14:textId="77777777" w:rsidR="00C26153" w:rsidRPr="00887F6C" w:rsidRDefault="00C26153" w:rsidP="004831E6">
      <w:pPr>
        <w:pStyle w:val="ManualHeading2"/>
        <w:rPr>
          <w:rFonts w:eastAsia="Arial Unicode MS"/>
          <w:noProof/>
          <w:color w:val="000000" w:themeColor="text1"/>
          <w:bdr w:val="nil"/>
        </w:rPr>
      </w:pPr>
      <w:r w:rsidRPr="00887F6C">
        <w:rPr>
          <w:noProof/>
          <w:color w:val="000000" w:themeColor="text1"/>
          <w:bdr w:val="nil"/>
        </w:rPr>
        <w:t>•</w:t>
      </w:r>
      <w:r w:rsidRPr="00887F6C">
        <w:rPr>
          <w:noProof/>
        </w:rPr>
        <w:tab/>
      </w:r>
      <w:r w:rsidRPr="00887F6C">
        <w:rPr>
          <w:noProof/>
          <w:color w:val="000000" w:themeColor="text1"/>
          <w:bdr w:val="nil"/>
        </w:rPr>
        <w:t>Temei juridic</w:t>
      </w:r>
    </w:p>
    <w:p w14:paraId="6F172202" w14:textId="77777777" w:rsidR="7330A262" w:rsidRPr="00887F6C" w:rsidRDefault="63D2584D" w:rsidP="3ECCADC3">
      <w:pPr>
        <w:rPr>
          <w:rFonts w:eastAsia="Times New Roman"/>
          <w:noProof/>
          <w:color w:val="000000" w:themeColor="text1"/>
        </w:rPr>
      </w:pPr>
      <w:r w:rsidRPr="00887F6C">
        <w:rPr>
          <w:noProof/>
        </w:rPr>
        <w:t xml:space="preserve">Propunerea extinde perioada în care Uniunea își continuă participarea la PRIMA, stabilind cadrul juridic necesar pentru a-i permite să funcționeze în temeiul </w:t>
      </w:r>
      <w:bookmarkStart w:id="0" w:name="_Hlk136436159"/>
      <w:r w:rsidRPr="00887F6C">
        <w:rPr>
          <w:noProof/>
        </w:rPr>
        <w:t xml:space="preserve">programului-cadru pentru </w:t>
      </w:r>
      <w:r w:rsidRPr="00887F6C">
        <w:rPr>
          <w:noProof/>
        </w:rPr>
        <w:lastRenderedPageBreak/>
        <w:t>C&amp;I Orizont Europa</w:t>
      </w:r>
      <w:bookmarkEnd w:id="0"/>
      <w:r w:rsidRPr="00887F6C">
        <w:rPr>
          <w:noProof/>
        </w:rPr>
        <w:t>, precum și al Regulamentului financiar</w:t>
      </w:r>
      <w:r w:rsidRPr="00887F6C">
        <w:rPr>
          <w:rStyle w:val="Referinnotdesubsol"/>
          <w:rFonts w:eastAsia="Times New Roman"/>
          <w:noProof/>
        </w:rPr>
        <w:footnoteReference w:id="17"/>
      </w:r>
      <w:r w:rsidRPr="00887F6C">
        <w:rPr>
          <w:noProof/>
        </w:rPr>
        <w:t>, continuând totodată activitățile inițiate în temeiul programului-cadru C&amp;I Orizont 2020.</w:t>
      </w:r>
    </w:p>
    <w:p w14:paraId="6580A80D" w14:textId="77777777" w:rsidR="7330A262" w:rsidRPr="00887F6C" w:rsidRDefault="47E19BD6" w:rsidP="1E82743F">
      <w:pPr>
        <w:pStyle w:val="Text1"/>
        <w:ind w:left="0"/>
        <w:rPr>
          <w:rFonts w:eastAsia="Times New Roman"/>
          <w:noProof/>
          <w:color w:val="000000" w:themeColor="text1"/>
        </w:rPr>
      </w:pPr>
      <w:r w:rsidRPr="00887F6C">
        <w:rPr>
          <w:noProof/>
          <w:color w:val="000000" w:themeColor="text1"/>
        </w:rPr>
        <w:t xml:space="preserve">Modificările propuse se bazează pe temeiul juridic al actului legislativ pe care urmăresc să îl modifice, adică articolul 185 din TFUE și articolul 188 al doilea paragraf din TFUE. </w:t>
      </w:r>
    </w:p>
    <w:p w14:paraId="13BBE859" w14:textId="77777777" w:rsidR="6E4A246D" w:rsidRPr="00887F6C" w:rsidRDefault="6E4A246D" w:rsidP="6E4A246D">
      <w:pPr>
        <w:pStyle w:val="Text1"/>
        <w:ind w:left="0"/>
        <w:rPr>
          <w:noProof/>
          <w:color w:val="000000" w:themeColor="text1"/>
        </w:rPr>
      </w:pPr>
    </w:p>
    <w:p w14:paraId="2ACD47D8"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 xml:space="preserve">Subsidiaritate (în cazul competențelor neexclusive) </w:t>
      </w:r>
    </w:p>
    <w:p w14:paraId="2049F513" w14:textId="77777777" w:rsidR="00F678D4" w:rsidRPr="00887F6C" w:rsidRDefault="7A5535C1" w:rsidP="3ECCADC3">
      <w:pPr>
        <w:pBdr>
          <w:bar w:val="nil"/>
        </w:pBdr>
        <w:rPr>
          <w:rFonts w:eastAsiaTheme="minorEastAsia"/>
          <w:noProof/>
          <w:szCs w:val="24"/>
        </w:rPr>
      </w:pPr>
      <w:r w:rsidRPr="00887F6C">
        <w:rPr>
          <w:noProof/>
        </w:rPr>
        <w:t xml:space="preserve">Principiul subsidiarității se aplică în măsura în care propunerea nu intră sub incidența competenței exclusive a Uniunii Europene. Subsidiaritatea este păstrată prin faptul că propunerea este bazată pe articolul 185 din TFUE, care prevede în mod explicit participarea Uniunii la programele de cercetare derulate de mai multe state membre. </w:t>
      </w:r>
    </w:p>
    <w:p w14:paraId="504B97F1" w14:textId="77777777" w:rsidR="2D38F07C" w:rsidRPr="00887F6C" w:rsidRDefault="01D6C1A7" w:rsidP="00ED5C64">
      <w:pPr>
        <w:pBdr>
          <w:bar w:val="nil"/>
        </w:pBdr>
        <w:spacing w:after="240"/>
        <w:rPr>
          <w:rFonts w:eastAsia="Times New Roman"/>
          <w:noProof/>
        </w:rPr>
      </w:pPr>
      <w:r w:rsidRPr="00887F6C">
        <w:rPr>
          <w:noProof/>
        </w:rPr>
        <w:t>Obiectivele PRIMA, a căror realizare rămâne esențială în prezenta propunere, nu pot fi realizate în mod satisfăcător de către statele membre acționând individual, ținând seama de faptul că există o valoare adăugată evidentă și demonstrabilă în acțiunile întreprinse la nivelul Uniunii, având în vedere amploarea, sfera de cuprindere și complexitatea eforturilor necesare pentru realizarea ambițiilor pe care își propune să le urmărească. În plus, având în vedere că propunerea vizează completarea legislației UE deja existente, această acțiune continuă să fie realizată cel mai bine la nivelul UE, mai degrabă decât prin diverse inițiative naționale. Cu toate acestea, este necesar ca totodată propunerea să continue să completeze și să consolideze activitățile naționale, locale și regionale din zona relevantă.</w:t>
      </w:r>
    </w:p>
    <w:p w14:paraId="7F10E1AC"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Proporționalitate</w:t>
      </w:r>
    </w:p>
    <w:p w14:paraId="45AE7D9E" w14:textId="77777777" w:rsidR="00C26153" w:rsidRPr="00887F6C" w:rsidRDefault="05452B0A" w:rsidP="73C0F938">
      <w:pPr>
        <w:pBdr>
          <w:bar w:val="nil"/>
        </w:pBdr>
        <w:spacing w:before="0" w:after="240"/>
        <w:rPr>
          <w:rFonts w:eastAsia="Times New Roman"/>
          <w:noProof/>
        </w:rPr>
      </w:pPr>
      <w:r w:rsidRPr="00887F6C">
        <w:rPr>
          <w:noProof/>
        </w:rPr>
        <w:t>Propunerea respectă principiul proporționalității deoarece statele membre vor fi responsabile de elaborarea programului comun și de toate aspectele operaționale. Structura dedicată de punere în aplicare (PRIMA-IS) a demonstrat deja că poate pune în aplicare programul în mod eficient și eficace</w:t>
      </w:r>
      <w:r w:rsidRPr="00887F6C">
        <w:rPr>
          <w:rStyle w:val="Referinnotdesubsol"/>
          <w:rFonts w:eastAsiaTheme="minorEastAsia"/>
          <w:noProof/>
          <w:szCs w:val="24"/>
        </w:rPr>
        <w:footnoteReference w:id="18"/>
      </w:r>
      <w:r w:rsidRPr="00887F6C">
        <w:rPr>
          <w:noProof/>
        </w:rPr>
        <w:t>. Uniunea va oferi stimulente pentru o mai bună coordonare, va asigura sinergii cu politicile UE și cu prioritățile Orizont Europa, contribuind, în același timp, la ele, va monitoriza punerea în aplicare a programului și va asigura protecția intereselor financiare ale UE.</w:t>
      </w:r>
    </w:p>
    <w:p w14:paraId="5215F33C" w14:textId="77777777" w:rsidR="00C26153" w:rsidRPr="00887F6C" w:rsidRDefault="00C26153" w:rsidP="73C0F938">
      <w:pPr>
        <w:pStyle w:val="ManualHeading2"/>
        <w:rPr>
          <w:rFonts w:eastAsia="Arial Unicode MS"/>
          <w:noProof/>
          <w:bdr w:val="nil"/>
        </w:rPr>
      </w:pPr>
      <w:r w:rsidRPr="00887F6C">
        <w:rPr>
          <w:noProof/>
          <w:bdr w:val="nil"/>
        </w:rPr>
        <w:t>•</w:t>
      </w:r>
      <w:r w:rsidRPr="00887F6C">
        <w:rPr>
          <w:noProof/>
        </w:rPr>
        <w:tab/>
      </w:r>
      <w:r w:rsidRPr="00887F6C">
        <w:rPr>
          <w:noProof/>
          <w:bdr w:val="nil"/>
        </w:rPr>
        <w:t>Alegerea instrumentului</w:t>
      </w:r>
    </w:p>
    <w:p w14:paraId="2F2120A9" w14:textId="77777777" w:rsidR="00C26153" w:rsidRPr="00887F6C" w:rsidRDefault="05FA355E" w:rsidP="73C0F938">
      <w:pPr>
        <w:pBdr>
          <w:top w:val="nil"/>
          <w:left w:val="nil"/>
          <w:bottom w:val="nil"/>
          <w:right w:val="nil"/>
          <w:between w:val="nil"/>
          <w:bar w:val="nil"/>
        </w:pBdr>
        <w:spacing w:before="0" w:after="240"/>
        <w:rPr>
          <w:rFonts w:eastAsia="Times New Roman"/>
          <w:noProof/>
        </w:rPr>
      </w:pPr>
      <w:r w:rsidRPr="00887F6C">
        <w:rPr>
          <w:noProof/>
        </w:rPr>
        <w:t xml:space="preserve">Prezenta propunere vizează o decizie de modificare a unui act legislativ existent anterior, adoptat în temeiul articolului 185 din TFUE. Pentru acest tip de instrument, articolul 188 alineatul (2) din TFUE prevede că Parlamentul European și Consiliul trebuie să adopte o decizie. </w:t>
      </w:r>
    </w:p>
    <w:p w14:paraId="24EEC166" w14:textId="77777777" w:rsidR="00DE2935" w:rsidRPr="00887F6C" w:rsidRDefault="67324E1B" w:rsidP="73C0F938">
      <w:pPr>
        <w:pBdr>
          <w:top w:val="nil"/>
          <w:left w:val="nil"/>
          <w:bottom w:val="nil"/>
          <w:right w:val="nil"/>
          <w:between w:val="nil"/>
          <w:bar w:val="nil"/>
        </w:pBdr>
        <w:spacing w:before="0" w:after="240"/>
        <w:rPr>
          <w:rFonts w:eastAsia="Times New Roman"/>
          <w:noProof/>
        </w:rPr>
      </w:pPr>
      <w:r w:rsidRPr="00887F6C">
        <w:rPr>
          <w:noProof/>
        </w:rPr>
        <w:t>Rezultatele primilor ani de punere în aplicare a PRIMA și indicațiile din cererea de contribuții (a se vedea și secțiunea 3. „Consultarea părților interesate” de mai jos) au arătat că un parteneriat european instituționalizat în temeiul articolul 185 din TFUE este cel mai adecvat mod de a atinge obiectivele PRIMA. Un astfel de parteneriat instituționalizat este, totodată, opțiunea preferată a statelor participante.</w:t>
      </w:r>
    </w:p>
    <w:p w14:paraId="767E1CE6" w14:textId="77777777" w:rsidR="00DE2935" w:rsidRPr="00887F6C" w:rsidRDefault="67324E1B" w:rsidP="73C0F938">
      <w:pPr>
        <w:pBdr>
          <w:top w:val="nil"/>
          <w:left w:val="nil"/>
          <w:bottom w:val="nil"/>
          <w:right w:val="nil"/>
          <w:between w:val="nil"/>
          <w:bar w:val="nil"/>
        </w:pBdr>
        <w:spacing w:before="0" w:after="240"/>
        <w:rPr>
          <w:rFonts w:eastAsia="Times New Roman"/>
          <w:noProof/>
        </w:rPr>
      </w:pPr>
      <w:r w:rsidRPr="00887F6C">
        <w:rPr>
          <w:noProof/>
        </w:rPr>
        <w:lastRenderedPageBreak/>
        <w:t>Continuarea PRIMA ca inițiativă de parteneriat în temeiul articolului 185 din TFUE ar permite și mai mult dezvoltarea colaborării în curs de derulare cu țările vizate de politica de vecinătate. Uniunea și țările în cauză vor stabili în continuare împreună prioritățile lor reciproce, intrând într-o nouă fază de cooperare, în conformitate cu prioritățile politicii europene de vecinătate.</w:t>
      </w:r>
    </w:p>
    <w:p w14:paraId="5F27A242" w14:textId="77777777" w:rsidR="00DE2935" w:rsidRPr="00887F6C" w:rsidRDefault="67324E1B" w:rsidP="00ED5C64">
      <w:pPr>
        <w:pBdr>
          <w:top w:val="nil"/>
          <w:left w:val="nil"/>
          <w:bottom w:val="nil"/>
          <w:right w:val="nil"/>
          <w:between w:val="nil"/>
          <w:bar w:val="nil"/>
        </w:pBdr>
        <w:spacing w:before="0" w:after="480"/>
        <w:rPr>
          <w:rFonts w:eastAsia="Times New Roman"/>
          <w:noProof/>
        </w:rPr>
      </w:pPr>
      <w:r w:rsidRPr="00887F6C">
        <w:rPr>
          <w:noProof/>
        </w:rPr>
        <w:t>În plus, un parteneriat european instituționalizat bazat pe articolul 185 din TFUE permite o gamă largă de acțiuni de cercetare și inovare și de contribuții financiare în funcție de sursa de finanțare (programul Orizont Europa sau programe naționale), de modalități de gestionare și de norme care s-au dovedit a fi eficiente în primii ani de punere în aplicare a PRIMA. Acest instrument este adecvat și pentru participarea țărilor terțe.</w:t>
      </w:r>
    </w:p>
    <w:p w14:paraId="0E889DD0" w14:textId="77777777" w:rsidR="00C26153" w:rsidRPr="00887F6C" w:rsidRDefault="00C26153" w:rsidP="004831E6">
      <w:pPr>
        <w:pStyle w:val="ManualHeading1"/>
        <w:rPr>
          <w:noProof/>
        </w:rPr>
      </w:pPr>
      <w:r w:rsidRPr="00887F6C">
        <w:rPr>
          <w:noProof/>
        </w:rPr>
        <w:t>3.</w:t>
      </w:r>
      <w:r w:rsidRPr="00887F6C">
        <w:rPr>
          <w:noProof/>
        </w:rPr>
        <w:tab/>
        <w:t xml:space="preserve">REZULTATELE EVALUĂRILOR </w:t>
      </w:r>
      <w:r w:rsidRPr="00887F6C">
        <w:rPr>
          <w:i/>
          <w:iCs/>
          <w:noProof/>
        </w:rPr>
        <w:t>EX POST</w:t>
      </w:r>
      <w:r w:rsidRPr="00887F6C">
        <w:rPr>
          <w:noProof/>
        </w:rPr>
        <w:t>, ALE CONSULTĂRILOR CU PĂRȚILE INTERESATE ȘI ALE EVALUĂRILOR IMPACTULUI</w:t>
      </w:r>
    </w:p>
    <w:p w14:paraId="2A1AF441" w14:textId="77777777" w:rsidR="00C26153" w:rsidRPr="00887F6C" w:rsidRDefault="00C26153" w:rsidP="004831E6">
      <w:pPr>
        <w:pStyle w:val="ManualHeading2"/>
        <w:rPr>
          <w:rFonts w:eastAsia="Arial Unicode MS"/>
          <w:noProof/>
          <w:color w:val="000000" w:themeColor="text1"/>
          <w:u w:color="000000"/>
          <w:bdr w:val="nil"/>
        </w:rPr>
      </w:pPr>
      <w:r w:rsidRPr="00887F6C">
        <w:rPr>
          <w:noProof/>
          <w:u w:color="000000"/>
          <w:bdr w:val="nil"/>
        </w:rPr>
        <w:t>•</w:t>
      </w:r>
      <w:r w:rsidRPr="00887F6C">
        <w:rPr>
          <w:noProof/>
        </w:rPr>
        <w:tab/>
      </w:r>
      <w:r w:rsidRPr="00887F6C">
        <w:rPr>
          <w:noProof/>
          <w:color w:val="000000" w:themeColor="text1"/>
          <w:u w:color="000000"/>
          <w:bdr w:val="nil"/>
        </w:rPr>
        <w:t xml:space="preserve">Evaluările </w:t>
      </w:r>
      <w:r w:rsidRPr="00887F6C">
        <w:rPr>
          <w:i/>
          <w:iCs/>
          <w:noProof/>
          <w:color w:val="000000" w:themeColor="text1"/>
          <w:u w:color="000000"/>
          <w:bdr w:val="nil"/>
        </w:rPr>
        <w:t>ex post</w:t>
      </w:r>
      <w:r w:rsidRPr="00887F6C">
        <w:rPr>
          <w:noProof/>
          <w:color w:val="000000" w:themeColor="text1"/>
          <w:u w:color="000000"/>
          <w:bdr w:val="nil"/>
        </w:rPr>
        <w:t>/verificarea adecvării legislației existente</w:t>
      </w:r>
    </w:p>
    <w:p w14:paraId="67192439" w14:textId="77777777" w:rsidR="003A3B4C" w:rsidRPr="00887F6C" w:rsidRDefault="003A3B4C" w:rsidP="00143376">
      <w:pPr>
        <w:pStyle w:val="ManualHeading2"/>
        <w:spacing w:after="0"/>
        <w:ind w:left="0" w:firstLine="0"/>
        <w:rPr>
          <w:b w:val="0"/>
          <w:noProof/>
        </w:rPr>
      </w:pPr>
      <w:r w:rsidRPr="00887F6C">
        <w:rPr>
          <w:b w:val="0"/>
          <w:noProof/>
        </w:rPr>
        <w:t>În 2022, experți terți independenți au efectuat o evaluare intermediară a PRIMA, vizând perioada cuprinsă între începutul derulării parteneriatului PRIMA (2017) și martie 2022.</w:t>
      </w:r>
    </w:p>
    <w:p w14:paraId="4A8F8AE7" w14:textId="77777777" w:rsidR="003A3B4C" w:rsidRPr="00887F6C" w:rsidRDefault="003A3B4C" w:rsidP="00143376">
      <w:pPr>
        <w:pStyle w:val="ManualHeading2"/>
        <w:spacing w:after="0"/>
        <w:ind w:left="0" w:firstLine="0"/>
        <w:rPr>
          <w:b w:val="0"/>
          <w:noProof/>
        </w:rPr>
      </w:pPr>
      <w:r w:rsidRPr="00887F6C">
        <w:rPr>
          <w:b w:val="0"/>
          <w:noProof/>
        </w:rPr>
        <w:t>Evaluarea intermediară a confirmat faptul că PRIMA a înregistrat progrese semnificative în ceea ce privește atingerea obiectivelor sale și că este bine gestionat. PRIMA abordează în mod adecvat provocările de mediu, socioeconomice și politice care sunt esențiale pentru dezvoltarea și sustenabilitatea viitoare a regiunii mediteraneene și joacă un rol unic în ecosistemul mediteraneean de cercetare și inovare. PRIMA a contribuit la promovarea integrării științifice în toate statele participante, permițând în special statelor participante din sudul Mediteranei să își amplifice capacitățile de cercetare și inovare.</w:t>
      </w:r>
    </w:p>
    <w:p w14:paraId="7FD0A4D8" w14:textId="77777777" w:rsidR="003A3B4C" w:rsidRPr="00887F6C" w:rsidRDefault="003A3B4C" w:rsidP="00143376">
      <w:pPr>
        <w:pStyle w:val="ManualHeading2"/>
        <w:spacing w:after="0"/>
        <w:ind w:left="0" w:firstLine="0"/>
        <w:rPr>
          <w:b w:val="0"/>
          <w:noProof/>
        </w:rPr>
      </w:pPr>
      <w:r w:rsidRPr="00887F6C">
        <w:rPr>
          <w:b w:val="0"/>
          <w:noProof/>
        </w:rPr>
        <w:t xml:space="preserve">Valoarea adăugată a UE la PRIMA este mare, în condițiile în care el contribuie la realizarea principalelor priorități politice, obiective și inițiative ale UE, cum ar fi Pactul verde european, în special Strategia „De la fermă la consumator” și Strategia privind biodiversitatea, Strategia în domeniul bioeconomiei, Strategia privind adaptarea la schimbările climatice și Planul de acțiune privind economia circulară, precum și a obiectivelor generale de dezvoltare sustenabilă. </w:t>
      </w:r>
    </w:p>
    <w:p w14:paraId="0250E603" w14:textId="77777777" w:rsidR="1879142D" w:rsidRPr="00887F6C" w:rsidRDefault="003A3B4C" w:rsidP="003A3B4C">
      <w:pPr>
        <w:pBdr>
          <w:bar w:val="nil"/>
        </w:pBdr>
        <w:spacing w:after="240"/>
        <w:rPr>
          <w:rFonts w:eastAsia="Times New Roman"/>
          <w:noProof/>
          <w:color w:val="000000" w:themeColor="text1"/>
        </w:rPr>
      </w:pPr>
      <w:r w:rsidRPr="00887F6C">
        <w:rPr>
          <w:noProof/>
        </w:rPr>
        <w:t xml:space="preserve">Raportul de evaluare intermediară recomandă, totodată, acțiuni pentru îmbunătățirea suplimentară a rezultatelor și a impactului PRIMA. </w:t>
      </w:r>
    </w:p>
    <w:p w14:paraId="7494B829"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Consultările cu părțile interesate</w:t>
      </w:r>
    </w:p>
    <w:p w14:paraId="0869EA25" w14:textId="77777777" w:rsidR="00C26153" w:rsidRPr="00887F6C" w:rsidRDefault="5F877F41" w:rsidP="00ED5C64">
      <w:pPr>
        <w:pBdr>
          <w:bar w:val="nil"/>
        </w:pBdr>
        <w:spacing w:after="240"/>
        <w:rPr>
          <w:rFonts w:eastAsia="Times New Roman"/>
          <w:noProof/>
          <w:color w:val="008080"/>
          <w:szCs w:val="24"/>
          <w:u w:val="single"/>
        </w:rPr>
      </w:pPr>
      <w:r w:rsidRPr="00887F6C">
        <w:rPr>
          <w:noProof/>
        </w:rPr>
        <w:t>Nu s-a efectuat nicio consultare cu părțile interesate. Informațiile culese prin consultarea publică inițială sunt considerate în continuare valabile. Caracterul modificărilor propuse nu necesită o nouă consultare a părților interesate.</w:t>
      </w:r>
    </w:p>
    <w:p w14:paraId="6248518D"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Obținerea și utilizarea expertizei</w:t>
      </w:r>
    </w:p>
    <w:p w14:paraId="0B6D6C56" w14:textId="77777777" w:rsidR="00C26153" w:rsidRPr="00887F6C" w:rsidRDefault="3057C35B" w:rsidP="00ED5C64">
      <w:pPr>
        <w:pBdr>
          <w:bar w:val="nil"/>
        </w:pBdr>
        <w:spacing w:after="240"/>
        <w:rPr>
          <w:rFonts w:eastAsia="Times New Roman"/>
          <w:noProof/>
          <w:color w:val="000000" w:themeColor="text1"/>
          <w:szCs w:val="24"/>
        </w:rPr>
      </w:pPr>
      <w:r w:rsidRPr="00887F6C">
        <w:rPr>
          <w:noProof/>
          <w:color w:val="000000" w:themeColor="text1"/>
        </w:rPr>
        <w:t>În contextul evaluării intermediare, a fost publicată o cerere de contribuții, iar rezultatele au fost luate în considerare.</w:t>
      </w:r>
    </w:p>
    <w:p w14:paraId="7FE1D81C"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Evaluarea impactului</w:t>
      </w:r>
    </w:p>
    <w:p w14:paraId="162CA535" w14:textId="77777777" w:rsidR="00C26153" w:rsidRPr="00887F6C" w:rsidRDefault="2A755F19" w:rsidP="00ED5C64">
      <w:pPr>
        <w:pBdr>
          <w:top w:val="nil"/>
          <w:left w:val="nil"/>
          <w:bottom w:val="nil"/>
          <w:right w:val="nil"/>
          <w:between w:val="nil"/>
          <w:bar w:val="nil"/>
        </w:pBdr>
        <w:spacing w:after="240"/>
        <w:rPr>
          <w:rFonts w:eastAsia="Arial Unicode MS"/>
          <w:noProof/>
        </w:rPr>
      </w:pPr>
      <w:r w:rsidRPr="00887F6C">
        <w:rPr>
          <w:noProof/>
        </w:rPr>
        <w:t>Nu a fost efectuată o evaluare a impactului. Analiza inițială și alegerea opțiunilor sunt considerate în continuare valabile. Caracterul modificării nu necesită o nouă evaluare a impactului.</w:t>
      </w:r>
    </w:p>
    <w:p w14:paraId="49CA9F9F" w14:textId="77777777" w:rsidR="00C26153" w:rsidRPr="00887F6C" w:rsidRDefault="00C26153" w:rsidP="004831E6">
      <w:pPr>
        <w:pStyle w:val="ManualHeading2"/>
        <w:rPr>
          <w:rFonts w:eastAsia="Arial Unicode MS"/>
          <w:noProof/>
          <w:u w:color="000000"/>
          <w:bdr w:val="nil"/>
        </w:rPr>
      </w:pPr>
      <w:r w:rsidRPr="00887F6C">
        <w:rPr>
          <w:noProof/>
          <w:u w:color="000000"/>
          <w:bdr w:val="nil"/>
        </w:rPr>
        <w:lastRenderedPageBreak/>
        <w:t>•</w:t>
      </w:r>
      <w:r w:rsidRPr="00887F6C">
        <w:rPr>
          <w:noProof/>
        </w:rPr>
        <w:tab/>
      </w:r>
      <w:r w:rsidRPr="00887F6C">
        <w:rPr>
          <w:noProof/>
          <w:u w:color="000000"/>
          <w:bdr w:val="nil"/>
        </w:rPr>
        <w:t>Adecvarea reglementărilor și simplificarea</w:t>
      </w:r>
    </w:p>
    <w:p w14:paraId="7D5A6788" w14:textId="77777777" w:rsidR="00C26153" w:rsidRPr="00887F6C" w:rsidRDefault="6EFCA88C" w:rsidP="00ED5C64">
      <w:pPr>
        <w:pBdr>
          <w:bar w:val="nil"/>
        </w:pBdr>
        <w:spacing w:after="240"/>
        <w:rPr>
          <w:rFonts w:eastAsia="Times New Roman"/>
          <w:noProof/>
          <w:szCs w:val="24"/>
        </w:rPr>
      </w:pPr>
      <w:r w:rsidRPr="00887F6C">
        <w:rPr>
          <w:noProof/>
        </w:rPr>
        <w:t>Nu se preconizează niciun efect de simplificare deoarece propunerea vizează o extindere a parteneriatului existent.</w:t>
      </w:r>
    </w:p>
    <w:p w14:paraId="1042C545"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Drepturile fundamentale</w:t>
      </w:r>
    </w:p>
    <w:p w14:paraId="6C969B17" w14:textId="77777777" w:rsidR="00C26153" w:rsidRPr="00887F6C" w:rsidRDefault="0B1E005F" w:rsidP="00ED5C64">
      <w:pPr>
        <w:pBdr>
          <w:bar w:val="nil"/>
        </w:pBdr>
        <w:spacing w:after="480"/>
        <w:rPr>
          <w:rFonts w:eastAsia="Times New Roman"/>
          <w:noProof/>
          <w:szCs w:val="24"/>
        </w:rPr>
      </w:pPr>
      <w:r w:rsidRPr="00887F6C">
        <w:rPr>
          <w:noProof/>
        </w:rPr>
        <w:t xml:space="preserve"> Propunerea de decizie nu are consecințe asupra protecției drepturilor fundamentale.</w:t>
      </w:r>
    </w:p>
    <w:p w14:paraId="68C8B5F1" w14:textId="77777777" w:rsidR="00C26153" w:rsidRPr="00887F6C" w:rsidRDefault="692B4D94" w:rsidP="004831E6">
      <w:pPr>
        <w:pStyle w:val="ManualHeading1"/>
        <w:rPr>
          <w:noProof/>
        </w:rPr>
      </w:pPr>
      <w:r w:rsidRPr="00887F6C">
        <w:rPr>
          <w:noProof/>
        </w:rPr>
        <w:t>4.</w:t>
      </w:r>
      <w:r w:rsidRPr="00887F6C">
        <w:rPr>
          <w:noProof/>
        </w:rPr>
        <w:tab/>
        <w:t>IMPLICAȚII BUGETARE</w:t>
      </w:r>
    </w:p>
    <w:p w14:paraId="76F8D0AA" w14:textId="77777777" w:rsidR="00C26153" w:rsidRPr="00887F6C" w:rsidRDefault="09C1D863" w:rsidP="664F17C4">
      <w:pPr>
        <w:pBdr>
          <w:bar w:val="nil"/>
        </w:pBdr>
        <w:rPr>
          <w:rFonts w:eastAsia="Times New Roman"/>
          <w:noProof/>
        </w:rPr>
      </w:pPr>
      <w:r w:rsidRPr="00887F6C">
        <w:rPr>
          <w:noProof/>
        </w:rPr>
        <w:t>Contribuția totală a Uniunii la inițiativa extinsă este de până la 325 de milioane EUR, incluzând contribuția SEE. Din această sumă, 220 milioane EUR au fost angajate din programul Orizont 2020 pentru perioada de programare 2018 – 2024. 105 de milioane EUR, care urmează să fie angajate în perioada 2025 – 2027, vor proveni din programul Orizont Europa, clusterul (vi) „Alimente, bioeconomie, resurse naturale, agricultură și mediu”.</w:t>
      </w:r>
    </w:p>
    <w:p w14:paraId="4269FC19" w14:textId="77777777" w:rsidR="72FC1708" w:rsidRPr="00887F6C" w:rsidRDefault="72FC1708">
      <w:pPr>
        <w:rPr>
          <w:rFonts w:eastAsia="Times New Roman"/>
          <w:noProof/>
          <w:szCs w:val="24"/>
        </w:rPr>
      </w:pPr>
      <w:r w:rsidRPr="00887F6C">
        <w:rPr>
          <w:noProof/>
        </w:rPr>
        <w:t>Cuantumul maxim al contribuției UE la costurile administrative pe întreaga durată a inițiativei este de până la 6 %, ceea ce corespunde sumei de 19,5 milioane EUR din contribuția totală a Uniunii de 325 de milioane EUR.</w:t>
      </w:r>
    </w:p>
    <w:p w14:paraId="76F92C1C" w14:textId="77777777" w:rsidR="26E56BCA" w:rsidRPr="00887F6C" w:rsidRDefault="6E1B07B8" w:rsidP="00ED5C64">
      <w:pPr>
        <w:spacing w:after="480"/>
        <w:rPr>
          <w:rFonts w:eastAsia="Times New Roman"/>
          <w:noProof/>
        </w:rPr>
      </w:pPr>
      <w:r w:rsidRPr="00887F6C">
        <w:rPr>
          <w:noProof/>
        </w:rPr>
        <w:t xml:space="preserve">Contribuția UE este gestionată de structura de punere în aplicare a PRIMA (PRIMA-IS), în urma acordului de delegare și a acordului de transfer de fonduri. Prevederile deciziei și ale acordului de delegare încheiat în 2018 între Comisie și PRIMA-IS trebuie să asigure protejarea intereselor financiare ale UE. </w:t>
      </w:r>
    </w:p>
    <w:p w14:paraId="501E36FE" w14:textId="77777777" w:rsidR="00C26153" w:rsidRPr="00887F6C" w:rsidRDefault="00C26153" w:rsidP="004831E6">
      <w:pPr>
        <w:pStyle w:val="ManualHeading1"/>
        <w:rPr>
          <w:noProof/>
        </w:rPr>
      </w:pPr>
      <w:r w:rsidRPr="00887F6C">
        <w:rPr>
          <w:noProof/>
        </w:rPr>
        <w:t>5.</w:t>
      </w:r>
      <w:r w:rsidRPr="00887F6C">
        <w:rPr>
          <w:noProof/>
        </w:rPr>
        <w:tab/>
        <w:t>ALTE ELEMENTE</w:t>
      </w:r>
    </w:p>
    <w:p w14:paraId="32307BD3"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Planuri de punere în aplicare și mecanisme de monitorizare, evaluare și raportare</w:t>
      </w:r>
    </w:p>
    <w:p w14:paraId="090B276C" w14:textId="77777777" w:rsidR="00C26153" w:rsidRPr="00887F6C" w:rsidRDefault="58789CC5" w:rsidP="1879142D">
      <w:pPr>
        <w:pBdr>
          <w:bar w:val="nil"/>
        </w:pBdr>
        <w:rPr>
          <w:rFonts w:eastAsia="Times New Roman"/>
          <w:noProof/>
          <w:szCs w:val="24"/>
        </w:rPr>
      </w:pPr>
      <w:r w:rsidRPr="00887F6C">
        <w:rPr>
          <w:noProof/>
        </w:rPr>
        <w:t>Punerea în aplicare a inițiativei se va baza pe o agendă strategică actualizată de cercetare și inovare convenită între Comisie și statele participante.</w:t>
      </w:r>
    </w:p>
    <w:p w14:paraId="0BF3FE94" w14:textId="77777777" w:rsidR="58789CC5" w:rsidRPr="00887F6C" w:rsidRDefault="115AE37A" w:rsidP="3ECCADC3">
      <w:pPr>
        <w:rPr>
          <w:rFonts w:eastAsia="Times New Roman"/>
          <w:noProof/>
        </w:rPr>
      </w:pPr>
      <w:r w:rsidRPr="00887F6C">
        <w:rPr>
          <w:noProof/>
        </w:rPr>
        <w:t>Performanța PRIMA-IS va fi monitorizată prin rapoarte anuale transmise Comisiei Europene spre aprobare de către PRIMA-IS. Ele vor include raportarea progreselor înregistrate în ceea ce privește indicatorii esențiali de performanță și alți parametri prevăzuți în agenda strategică de cercetare și inovare.</w:t>
      </w:r>
    </w:p>
    <w:p w14:paraId="2A7A2AEA" w14:textId="77777777" w:rsidR="58789CC5" w:rsidRPr="00887F6C" w:rsidRDefault="58789CC5" w:rsidP="001C0C9C">
      <w:pPr>
        <w:spacing w:after="240"/>
        <w:rPr>
          <w:rFonts w:eastAsia="Times New Roman"/>
          <w:noProof/>
          <w:szCs w:val="24"/>
        </w:rPr>
      </w:pPr>
      <w:r w:rsidRPr="00887F6C">
        <w:rPr>
          <w:noProof/>
        </w:rPr>
        <w:t>Propunerea prevede o evaluare intermediară suplimentară până cel târziu în 2025 și o evaluare finală până cel târziu în 2030.</w:t>
      </w:r>
    </w:p>
    <w:p w14:paraId="2BCD20DC" w14:textId="77777777" w:rsidR="00C26153" w:rsidRPr="00887F6C" w:rsidRDefault="00C26153" w:rsidP="004831E6">
      <w:pPr>
        <w:pStyle w:val="ManualHeading2"/>
        <w:rPr>
          <w:rFonts w:eastAsia="Arial Unicode MS"/>
          <w:noProof/>
          <w:u w:color="000000"/>
          <w:bdr w:val="nil"/>
        </w:rPr>
      </w:pPr>
      <w:r w:rsidRPr="00887F6C">
        <w:rPr>
          <w:noProof/>
          <w:u w:color="000000"/>
          <w:bdr w:val="nil"/>
        </w:rPr>
        <w:t>•</w:t>
      </w:r>
      <w:r w:rsidRPr="00887F6C">
        <w:rPr>
          <w:noProof/>
        </w:rPr>
        <w:tab/>
      </w:r>
      <w:r w:rsidRPr="00887F6C">
        <w:rPr>
          <w:noProof/>
          <w:u w:color="000000"/>
          <w:bdr w:val="nil"/>
        </w:rPr>
        <w:t>Explicații detaliate cu privire la prevederile specifice ale propunerii</w:t>
      </w:r>
    </w:p>
    <w:p w14:paraId="77726731" w14:textId="77777777" w:rsidR="008F1CAA" w:rsidRPr="00887F6C" w:rsidRDefault="00BD4142" w:rsidP="004831E6">
      <w:pPr>
        <w:pBdr>
          <w:top w:val="nil"/>
          <w:left w:val="nil"/>
          <w:bottom w:val="nil"/>
          <w:right w:val="nil"/>
          <w:between w:val="nil"/>
          <w:bar w:val="nil"/>
        </w:pBdr>
        <w:spacing w:before="0" w:after="240"/>
        <w:rPr>
          <w:noProof/>
        </w:rPr>
      </w:pPr>
      <w:r w:rsidRPr="00887F6C">
        <w:rPr>
          <w:noProof/>
        </w:rPr>
        <w:t xml:space="preserve">Articolul 1 modifică Decizia 2017/1324 și o adaptează la noul cadru de reglementare stabilit prin Regulamentul (UE) 2021/695 privind programul Orizont Europa și prin Regulamentul financiar 2018/1046. </w:t>
      </w:r>
    </w:p>
    <w:p w14:paraId="7AEDC9BE" w14:textId="77777777" w:rsidR="00BD4142" w:rsidRPr="00887F6C" w:rsidRDefault="3234997A" w:rsidP="3ECCADC3">
      <w:pPr>
        <w:pBdr>
          <w:top w:val="nil"/>
          <w:left w:val="nil"/>
          <w:bottom w:val="nil"/>
          <w:right w:val="nil"/>
          <w:between w:val="nil"/>
          <w:bar w:val="nil"/>
        </w:pBdr>
        <w:spacing w:before="0" w:after="240"/>
        <w:rPr>
          <w:noProof/>
        </w:rPr>
      </w:pPr>
      <w:r w:rsidRPr="00887F6C">
        <w:rPr>
          <w:noProof/>
        </w:rPr>
        <w:t xml:space="preserve">Articolul 1 alineatul (1) prevede modificarea acordurilor internaționale cu cele cinci state participante care nu sunt asociate la programul Orizont Europa. </w:t>
      </w:r>
    </w:p>
    <w:p w14:paraId="0F618379" w14:textId="77777777" w:rsidR="00142758" w:rsidRPr="00887F6C" w:rsidRDefault="3BF50942" w:rsidP="3ECCADC3">
      <w:pPr>
        <w:pBdr>
          <w:top w:val="nil"/>
          <w:left w:val="nil"/>
          <w:bottom w:val="nil"/>
          <w:right w:val="nil"/>
          <w:between w:val="nil"/>
          <w:bar w:val="nil"/>
        </w:pBdr>
        <w:spacing w:before="0" w:after="240"/>
        <w:rPr>
          <w:noProof/>
        </w:rPr>
      </w:pPr>
      <w:r w:rsidRPr="00887F6C">
        <w:rPr>
          <w:noProof/>
        </w:rPr>
        <w:t xml:space="preserve">Articolul 1 alineatul (3) prevede o contribuție financiară suplimentară a Uniunii din partea programului Orizont Europa și specifică linia bugetară din care va fi furnizată contribuția financiară a Uniunii din cadrul programului Orizont Europa. </w:t>
      </w:r>
    </w:p>
    <w:p w14:paraId="2AFD7FC4" w14:textId="77777777" w:rsidR="00142758" w:rsidRPr="00887F6C" w:rsidRDefault="3234997A" w:rsidP="3ECCADC3">
      <w:pPr>
        <w:pBdr>
          <w:top w:val="nil"/>
          <w:left w:val="nil"/>
          <w:bottom w:val="nil"/>
          <w:right w:val="nil"/>
          <w:between w:val="nil"/>
          <w:bar w:val="nil"/>
        </w:pBdr>
        <w:spacing w:before="0" w:after="240"/>
        <w:rPr>
          <w:noProof/>
        </w:rPr>
      </w:pPr>
      <w:r w:rsidRPr="00887F6C">
        <w:rPr>
          <w:noProof/>
        </w:rPr>
        <w:lastRenderedPageBreak/>
        <w:t>Articolul 1 alineatul (5) precizează contribuția financiară minimă a statelor participante și extinde durata pentru care această contribuție este angajată, și anume până la 31 decembrie 2031.</w:t>
      </w:r>
    </w:p>
    <w:p w14:paraId="5A1B4EA1" w14:textId="77777777" w:rsidR="00142758" w:rsidRPr="00887F6C" w:rsidRDefault="66D006B5" w:rsidP="3ECCADC3">
      <w:pPr>
        <w:pBdr>
          <w:top w:val="nil"/>
          <w:left w:val="nil"/>
          <w:bottom w:val="nil"/>
          <w:right w:val="nil"/>
          <w:between w:val="nil"/>
          <w:bar w:val="nil"/>
        </w:pBdr>
        <w:spacing w:before="0" w:after="240"/>
        <w:rPr>
          <w:noProof/>
        </w:rPr>
      </w:pPr>
      <w:r w:rsidRPr="00887F6C">
        <w:rPr>
          <w:noProof/>
        </w:rPr>
        <w:t xml:space="preserve">Articolul 1 alineatul (6) extinde perioada activă de funcționare a PRIMA până în 2027. </w:t>
      </w:r>
    </w:p>
    <w:p w14:paraId="64A45AD1" w14:textId="77777777" w:rsidR="007E670C" w:rsidRPr="00887F6C" w:rsidRDefault="007E670C" w:rsidP="004831E6">
      <w:pPr>
        <w:pBdr>
          <w:top w:val="nil"/>
          <w:left w:val="nil"/>
          <w:bottom w:val="nil"/>
          <w:right w:val="nil"/>
          <w:between w:val="nil"/>
          <w:bar w:val="nil"/>
        </w:pBdr>
        <w:spacing w:before="0" w:after="240"/>
        <w:rPr>
          <w:noProof/>
        </w:rPr>
      </w:pPr>
      <w:r w:rsidRPr="00887F6C">
        <w:rPr>
          <w:noProof/>
        </w:rPr>
        <w:t>Articolul 1 alineatul (12) introduce noi dispoziții referitoare la accesul la rezultate și la informații privind propunerile.</w:t>
      </w:r>
    </w:p>
    <w:p w14:paraId="103CE616" w14:textId="77777777" w:rsidR="007E670C" w:rsidRPr="00887F6C" w:rsidRDefault="007E670C" w:rsidP="004831E6">
      <w:pPr>
        <w:pBdr>
          <w:top w:val="nil"/>
          <w:left w:val="nil"/>
          <w:bottom w:val="nil"/>
          <w:right w:val="nil"/>
          <w:between w:val="nil"/>
          <w:bar w:val="nil"/>
        </w:pBdr>
        <w:spacing w:before="0" w:after="240"/>
        <w:rPr>
          <w:noProof/>
        </w:rPr>
      </w:pPr>
      <w:r w:rsidRPr="00887F6C">
        <w:rPr>
          <w:noProof/>
        </w:rPr>
        <w:t>Articolul 1 alineatul (14) introduce noi dispoziții referitoare la monitorizare și evaluare.</w:t>
      </w:r>
    </w:p>
    <w:p w14:paraId="0B538B86" w14:textId="77777777" w:rsidR="007E670C" w:rsidRPr="00887F6C" w:rsidRDefault="0092194B" w:rsidP="3ECCADC3">
      <w:pPr>
        <w:pBdr>
          <w:top w:val="nil"/>
          <w:left w:val="nil"/>
          <w:bottom w:val="nil"/>
          <w:right w:val="nil"/>
          <w:between w:val="nil"/>
          <w:bar w:val="nil"/>
        </w:pBdr>
        <w:spacing w:before="0" w:after="240"/>
        <w:rPr>
          <w:noProof/>
        </w:rPr>
      </w:pPr>
      <w:r w:rsidRPr="00887F6C">
        <w:rPr>
          <w:noProof/>
        </w:rPr>
        <w:t>Articolul 1 alineatul (15) introduce noi dispoziții privind confidențialitatea, conflictele de interese și acțiunile, activitățile și angajamentele în curs de derulare.</w:t>
      </w:r>
    </w:p>
    <w:p w14:paraId="1F1C49A1" w14:textId="77777777" w:rsidR="007E670C" w:rsidRPr="00887F6C" w:rsidRDefault="007E670C">
      <w:pPr>
        <w:spacing w:before="0" w:after="200" w:line="276" w:lineRule="auto"/>
        <w:jc w:val="left"/>
        <w:rPr>
          <w:noProof/>
        </w:rPr>
      </w:pPr>
      <w:r w:rsidRPr="00887F6C">
        <w:rPr>
          <w:noProof/>
        </w:rPr>
        <w:br w:type="page"/>
      </w:r>
    </w:p>
    <w:p w14:paraId="00F689A7" w14:textId="1346B197" w:rsidR="00BE3B5C" w:rsidRDefault="00BE3B5C" w:rsidP="00BE3B5C">
      <w:pPr>
        <w:pStyle w:val="Rfrenceinterinstitutionnelle"/>
        <w:rPr>
          <w:noProof/>
        </w:rPr>
      </w:pPr>
      <w:r w:rsidRPr="00BE3B5C">
        <w:lastRenderedPageBreak/>
        <w:t>2023/0207 (COD)</w:t>
      </w:r>
    </w:p>
    <w:p w14:paraId="1B4176F0" w14:textId="579EC4F3" w:rsidR="00C26153" w:rsidRPr="00887F6C" w:rsidRDefault="005D230E" w:rsidP="005D230E">
      <w:pPr>
        <w:pStyle w:val="Statut"/>
        <w:rPr>
          <w:noProof/>
        </w:rPr>
      </w:pPr>
      <w:r w:rsidRPr="00887F6C">
        <w:rPr>
          <w:noProof/>
        </w:rPr>
        <w:t>Propunere de</w:t>
      </w:r>
    </w:p>
    <w:p w14:paraId="397C99AC" w14:textId="77777777" w:rsidR="00C26153" w:rsidRPr="00887F6C" w:rsidRDefault="005D230E" w:rsidP="005D230E">
      <w:pPr>
        <w:pStyle w:val="Typedudocument"/>
        <w:rPr>
          <w:noProof/>
        </w:rPr>
      </w:pPr>
      <w:r w:rsidRPr="00887F6C">
        <w:rPr>
          <w:noProof/>
        </w:rPr>
        <w:t>DECIZIE A PARLAMENTULUI EUROPEAN ȘI A CONSILIULUI</w:t>
      </w:r>
    </w:p>
    <w:p w14:paraId="7C203612" w14:textId="77777777" w:rsidR="00C26153" w:rsidRPr="00887F6C" w:rsidRDefault="005D230E" w:rsidP="005D230E">
      <w:pPr>
        <w:pStyle w:val="Titreobjet"/>
        <w:rPr>
          <w:noProof/>
        </w:rPr>
      </w:pPr>
      <w:r w:rsidRPr="00887F6C">
        <w:rPr>
          <w:noProof/>
        </w:rPr>
        <w:t>de modificare a Deciziei (UE) 2017/1324 în ceea ce privește continuarea participării Uniunii la Parteneriatul în domeniul cercetării și inovării în zona mediteraneeană (PRIMA) în cadrul programului Orizont Europa</w:t>
      </w:r>
    </w:p>
    <w:p w14:paraId="7AC74187" w14:textId="77777777" w:rsidR="00C26153" w:rsidRPr="00887F6C" w:rsidRDefault="00C26153" w:rsidP="001C0C9C">
      <w:pPr>
        <w:pStyle w:val="Institutionquiagit"/>
        <w:spacing w:after="240"/>
        <w:rPr>
          <w:noProof/>
        </w:rPr>
      </w:pPr>
      <w:r w:rsidRPr="00887F6C">
        <w:rPr>
          <w:noProof/>
        </w:rPr>
        <w:t>PARLAMENTUL EUROPEAN ȘI CONSILIUL UNIUNII EUROPENE,</w:t>
      </w:r>
    </w:p>
    <w:p w14:paraId="4929D4F3" w14:textId="77777777" w:rsidR="00C26153" w:rsidRPr="00887F6C" w:rsidRDefault="00C26153" w:rsidP="001C0C9C">
      <w:pPr>
        <w:spacing w:before="240" w:after="240"/>
        <w:rPr>
          <w:noProof/>
        </w:rPr>
      </w:pPr>
      <w:r w:rsidRPr="00887F6C">
        <w:rPr>
          <w:noProof/>
        </w:rPr>
        <w:t>având în vedere Tratatul privind funcționarea Uniunii Europene, în special articolul 185 și articolul 188 al doilea paragraf,</w:t>
      </w:r>
    </w:p>
    <w:p w14:paraId="64DB4052" w14:textId="77777777" w:rsidR="00C26153" w:rsidRPr="00887F6C" w:rsidRDefault="00C26153" w:rsidP="001C0C9C">
      <w:pPr>
        <w:spacing w:before="240" w:after="240"/>
        <w:rPr>
          <w:noProof/>
        </w:rPr>
      </w:pPr>
      <w:r w:rsidRPr="00887F6C">
        <w:rPr>
          <w:noProof/>
        </w:rPr>
        <w:t>având în vedere propunerea Comisiei Europene,</w:t>
      </w:r>
    </w:p>
    <w:p w14:paraId="4A3F8605" w14:textId="77777777" w:rsidR="00C26153" w:rsidRPr="00887F6C" w:rsidRDefault="00C26153" w:rsidP="001C0C9C">
      <w:pPr>
        <w:spacing w:before="240" w:after="240"/>
        <w:rPr>
          <w:noProof/>
        </w:rPr>
      </w:pPr>
      <w:r w:rsidRPr="00887F6C">
        <w:rPr>
          <w:noProof/>
        </w:rPr>
        <w:t>după transmiterea proiectului de act legislativ parlamentelor naționale,</w:t>
      </w:r>
    </w:p>
    <w:p w14:paraId="02054DCE" w14:textId="77777777" w:rsidR="00C26153" w:rsidRPr="00887F6C" w:rsidRDefault="460B71A3" w:rsidP="001C0C9C">
      <w:pPr>
        <w:spacing w:before="240" w:after="240"/>
        <w:rPr>
          <w:noProof/>
        </w:rPr>
      </w:pPr>
      <w:r w:rsidRPr="00887F6C">
        <w:rPr>
          <w:noProof/>
        </w:rPr>
        <w:t>având în vedere avizul Comitetului Economic și Social European</w:t>
      </w:r>
      <w:r w:rsidRPr="00887F6C">
        <w:rPr>
          <w:rStyle w:val="Referinnotdesubsol"/>
          <w:noProof/>
        </w:rPr>
        <w:footnoteReference w:id="19"/>
      </w:r>
      <w:r w:rsidRPr="00887F6C">
        <w:rPr>
          <w:noProof/>
        </w:rPr>
        <w:t xml:space="preserve">, </w:t>
      </w:r>
    </w:p>
    <w:p w14:paraId="20867F1A" w14:textId="77777777" w:rsidR="00C26153" w:rsidRPr="00887F6C" w:rsidRDefault="692B4D94" w:rsidP="001C0C9C">
      <w:pPr>
        <w:spacing w:before="240" w:after="240"/>
        <w:rPr>
          <w:noProof/>
        </w:rPr>
      </w:pPr>
      <w:r w:rsidRPr="00887F6C">
        <w:rPr>
          <w:noProof/>
        </w:rPr>
        <w:t>hotărând în conformitate cu procedura legislativă ordinară,</w:t>
      </w:r>
    </w:p>
    <w:p w14:paraId="62C6C2D1" w14:textId="77777777" w:rsidR="00C26153" w:rsidRPr="00887F6C" w:rsidRDefault="00C26153" w:rsidP="001C0C9C">
      <w:pPr>
        <w:spacing w:before="240" w:after="240"/>
        <w:rPr>
          <w:noProof/>
        </w:rPr>
      </w:pPr>
      <w:r w:rsidRPr="00887F6C">
        <w:rPr>
          <w:noProof/>
        </w:rPr>
        <w:t>întrucât:</w:t>
      </w:r>
    </w:p>
    <w:p w14:paraId="7E2CA982" w14:textId="7057D121" w:rsidR="006012A4" w:rsidRPr="00887F6C" w:rsidRDefault="004432B5" w:rsidP="004432B5">
      <w:pPr>
        <w:pStyle w:val="ManualConsidrant"/>
        <w:rPr>
          <w:noProof/>
        </w:rPr>
      </w:pPr>
      <w:r w:rsidRPr="004432B5">
        <w:t>(1)</w:t>
      </w:r>
      <w:r w:rsidRPr="004432B5">
        <w:tab/>
      </w:r>
      <w:r w:rsidR="19D8786E" w:rsidRPr="00887F6C">
        <w:rPr>
          <w:noProof/>
        </w:rPr>
        <w:t>Decizia (UE) 2017/1324 a Parlamentului European și a Consiliului</w:t>
      </w:r>
      <w:r w:rsidR="19D8786E" w:rsidRPr="00887F6C">
        <w:rPr>
          <w:rStyle w:val="Referinnotdesubsol"/>
          <w:noProof/>
        </w:rPr>
        <w:footnoteReference w:id="20"/>
      </w:r>
      <w:r w:rsidR="19D8786E" w:rsidRPr="00887F6C">
        <w:rPr>
          <w:noProof/>
        </w:rPr>
        <w:t xml:space="preserve"> a fost adoptată în temeiul Programului-cadru pentru cercetare și inovare anterior, și anume Orizont 2020, pentru o perioadă care se încheie la 31 decembrie 2028. </w:t>
      </w:r>
    </w:p>
    <w:p w14:paraId="126FDB69" w14:textId="4F865AD7" w:rsidR="006012A4" w:rsidRPr="00887F6C" w:rsidRDefault="004432B5" w:rsidP="004432B5">
      <w:pPr>
        <w:pStyle w:val="ManualConsidrant"/>
        <w:rPr>
          <w:noProof/>
        </w:rPr>
      </w:pPr>
      <w:r w:rsidRPr="004432B5">
        <w:t>(2)</w:t>
      </w:r>
      <w:r w:rsidRPr="004432B5">
        <w:tab/>
      </w:r>
      <w:r w:rsidR="1A08B963" w:rsidRPr="00887F6C">
        <w:rPr>
          <w:noProof/>
        </w:rPr>
        <w:t xml:space="preserve">În conformitate cu actul de bază al PRIMA, cererile finale de propuneri din cadrul programului anual de lucru relevant vor fi lansate în 2024 și toate acțiunile de C&amp;I indirecte vor fi finalizate până în 2028. </w:t>
      </w:r>
    </w:p>
    <w:p w14:paraId="6841164C" w14:textId="2356AF0D" w:rsidR="006012A4" w:rsidRPr="00887F6C" w:rsidRDefault="004432B5" w:rsidP="004432B5">
      <w:pPr>
        <w:pStyle w:val="ManualConsidrant"/>
        <w:rPr>
          <w:noProof/>
        </w:rPr>
      </w:pPr>
      <w:r w:rsidRPr="004432B5">
        <w:t>(3)</w:t>
      </w:r>
      <w:r w:rsidRPr="004432B5">
        <w:tab/>
      </w:r>
      <w:r w:rsidR="60F2B23E" w:rsidRPr="00887F6C">
        <w:rPr>
          <w:noProof/>
        </w:rPr>
        <w:t xml:space="preserve">Statele membre care participă la PRIMA și-au declarat intenția de a continua în inițiativa lor comună după 2024 și au solicitat continuarea participării Uniunii în același cadru instituțional de la articolul 185. </w:t>
      </w:r>
    </w:p>
    <w:p w14:paraId="24014292" w14:textId="63B7F59F" w:rsidR="00AF705F" w:rsidRPr="00887F6C" w:rsidRDefault="004432B5" w:rsidP="004432B5">
      <w:pPr>
        <w:pStyle w:val="ManualConsidrant"/>
        <w:rPr>
          <w:noProof/>
        </w:rPr>
      </w:pPr>
      <w:r w:rsidRPr="004432B5">
        <w:t>(4)</w:t>
      </w:r>
      <w:r w:rsidRPr="004432B5">
        <w:tab/>
      </w:r>
      <w:r w:rsidR="161018B0" w:rsidRPr="00887F6C">
        <w:rPr>
          <w:noProof/>
        </w:rPr>
        <w:t>Întrucât raționamentul și obiectivele inițiale ale parteneriatului PRIMA sunt încă valabile, iar raportul de evaluare intermediară</w:t>
      </w:r>
      <w:r w:rsidR="161018B0" w:rsidRPr="00887F6C">
        <w:rPr>
          <w:rStyle w:val="Referinnotdesubsol"/>
          <w:noProof/>
        </w:rPr>
        <w:footnoteReference w:id="21"/>
      </w:r>
      <w:r w:rsidR="161018B0" w:rsidRPr="00887F6C">
        <w:rPr>
          <w:noProof/>
        </w:rPr>
        <w:t xml:space="preserve"> a concluzionat că PRIMA este un instrument de succes cu valoare adăugată pentru Uniune, este necesar ca Uniunea să continue să ofere sprijin financiar pentru a permite PRIMA să finanțeze acțiuni de cercetare și inovare în cadrul aceleiași sfere de cuprindere tematice până în 2027 și să aducă respectivul instrument în sincronizare cu cadrul financiar multianual (CFM) al </w:t>
      </w:r>
      <w:r w:rsidR="161018B0" w:rsidRPr="00887F6C">
        <w:rPr>
          <w:noProof/>
        </w:rPr>
        <w:lastRenderedPageBreak/>
        <w:t>Uniunii și cu ciclurile de programare aliniate la CFM ale programelor de C&amp;I. În plus, este necesar ca durata totală a PRIMA să fie extinsă până în 2031 pentru a permite punerea în aplicare deplină a acțiunilor de cercetare și inovare sprijinite.</w:t>
      </w:r>
    </w:p>
    <w:p w14:paraId="5F639029" w14:textId="515C79C2" w:rsidR="00AE60C1" w:rsidRPr="00887F6C" w:rsidRDefault="004432B5" w:rsidP="004432B5">
      <w:pPr>
        <w:pStyle w:val="ManualConsidrant"/>
        <w:rPr>
          <w:noProof/>
        </w:rPr>
      </w:pPr>
      <w:r w:rsidRPr="004432B5">
        <w:t>(5)</w:t>
      </w:r>
      <w:r w:rsidRPr="004432B5">
        <w:tab/>
      </w:r>
      <w:r w:rsidR="4F0FBC23" w:rsidRPr="00887F6C">
        <w:rPr>
          <w:noProof/>
        </w:rPr>
        <w:t xml:space="preserve">Este necesar ca sprijinul financiar continuu din partea Uniunii pentru PRIMA să provină din </w:t>
      </w:r>
      <w:r w:rsidR="4F0FBC23" w:rsidRPr="00887F6C">
        <w:rPr>
          <w:rStyle w:val="normaltextrun"/>
          <w:noProof/>
        </w:rPr>
        <w:t>bugetul general al Uniunii alocat programului specific de punere în aplicare a programului Orizont Europa, instituit prin Decizia 2021/764 a Consiliului</w:t>
      </w:r>
      <w:r w:rsidR="4F0FBC23" w:rsidRPr="00887F6C">
        <w:rPr>
          <w:rStyle w:val="Referinnotdesubsol"/>
          <w:noProof/>
        </w:rPr>
        <w:footnoteReference w:id="22"/>
      </w:r>
      <w:r w:rsidR="4F0FBC23" w:rsidRPr="00887F6C">
        <w:rPr>
          <w:rStyle w:val="normaltextrun"/>
          <w:noProof/>
        </w:rPr>
        <w:t>, în special din pilonul II, „Provocări globale și competitivitate industrială europeană”, și din clusterul tematic</w:t>
      </w:r>
      <w:r w:rsidR="4F0FBC23" w:rsidRPr="00887F6C">
        <w:rPr>
          <w:noProof/>
        </w:rPr>
        <w:t xml:space="preserve"> relevant (vi) </w:t>
      </w:r>
      <w:r w:rsidR="4F0FBC23" w:rsidRPr="00887F6C">
        <w:rPr>
          <w:rStyle w:val="normaltextrun"/>
          <w:noProof/>
        </w:rPr>
        <w:t>„</w:t>
      </w:r>
      <w:r w:rsidR="4F0FBC23" w:rsidRPr="00887F6C">
        <w:rPr>
          <w:noProof/>
        </w:rPr>
        <w:t xml:space="preserve">Alimente, bioeconomie, resurse naturale, agricultură și mediu”. </w:t>
      </w:r>
    </w:p>
    <w:p w14:paraId="099E6CC9" w14:textId="280E8DA3" w:rsidR="00C26153" w:rsidRPr="00887F6C" w:rsidRDefault="004432B5" w:rsidP="004432B5">
      <w:pPr>
        <w:pStyle w:val="ManualConsidrant"/>
        <w:rPr>
          <w:noProof/>
        </w:rPr>
      </w:pPr>
      <w:r w:rsidRPr="004432B5">
        <w:t>(6)</w:t>
      </w:r>
      <w:r w:rsidRPr="004432B5">
        <w:tab/>
      </w:r>
      <w:r w:rsidR="3D9784B5" w:rsidRPr="00887F6C">
        <w:rPr>
          <w:noProof/>
        </w:rPr>
        <w:t>PRIMA este finanțat în temeiul Regulamentului (UE) nr. 1291/2013 al Parlamentului European și al Consiliului</w:t>
      </w:r>
      <w:r w:rsidR="3D9784B5" w:rsidRPr="00887F6C">
        <w:rPr>
          <w:rStyle w:val="Referinnotdesubsol"/>
          <w:noProof/>
        </w:rPr>
        <w:footnoteReference w:id="23"/>
      </w:r>
      <w:r w:rsidR="3D9784B5" w:rsidRPr="00887F6C">
        <w:rPr>
          <w:noProof/>
        </w:rPr>
        <w:t>. În scopul continuării activității sale în 2025 și ulterior, este necesar ca el să fie finanțat și operat</w:t>
      </w:r>
      <w:r w:rsidR="3D9784B5" w:rsidRPr="00887F6C">
        <w:rPr>
          <w:rStyle w:val="Referinnotdesubsol"/>
          <w:noProof/>
        </w:rPr>
        <w:t xml:space="preserve"> </w:t>
      </w:r>
      <w:r w:rsidR="3D9784B5" w:rsidRPr="00887F6C">
        <w:rPr>
          <w:noProof/>
        </w:rPr>
        <w:t>în temeiul Regulamentului (UE) 2021/695 al Parlamentului European și al Consiliului</w:t>
      </w:r>
      <w:r w:rsidR="3D9784B5" w:rsidRPr="00887F6C">
        <w:rPr>
          <w:rStyle w:val="Referinnotdesubsol"/>
          <w:noProof/>
        </w:rPr>
        <w:footnoteReference w:id="24"/>
      </w:r>
      <w:r w:rsidR="3D9784B5" w:rsidRPr="00887F6C">
        <w:rPr>
          <w:noProof/>
        </w:rPr>
        <w:t>. Prin urmare, este necesar ca Decizia (UE) 2017/1324 să fie aliniată la cerințele Regulamentului (UE) 2021/695 și ale Regulamentului (UE, Euratom) 2018/1046 al Parlamentului European și al Consiliului</w:t>
      </w:r>
      <w:r w:rsidR="3D9784B5" w:rsidRPr="00887F6C">
        <w:rPr>
          <w:rStyle w:val="Referinnotdesubsol"/>
          <w:noProof/>
        </w:rPr>
        <w:footnoteReference w:id="25"/>
      </w:r>
      <w:r w:rsidR="3D9784B5" w:rsidRPr="00887F6C">
        <w:rPr>
          <w:noProof/>
        </w:rPr>
        <w:t xml:space="preserve">. </w:t>
      </w:r>
    </w:p>
    <w:p w14:paraId="1DC0001D" w14:textId="58F0C6FC" w:rsidR="0035061F" w:rsidRPr="00887F6C" w:rsidRDefault="004432B5" w:rsidP="004432B5">
      <w:pPr>
        <w:pStyle w:val="ManualConsidrant"/>
        <w:rPr>
          <w:noProof/>
        </w:rPr>
      </w:pPr>
      <w:r w:rsidRPr="004432B5">
        <w:t>(7)</w:t>
      </w:r>
      <w:r w:rsidRPr="004432B5">
        <w:tab/>
      </w:r>
      <w:r w:rsidR="50C792CA" w:rsidRPr="00887F6C">
        <w:rPr>
          <w:noProof/>
        </w:rPr>
        <w:t>Este necesar ca Decizia (UE) 2017/1324 să fie aliniată la obiectivele și prioritățile în materie de cercetare și inovare ale programului Orizont Europa și la principiile și condițiile generale prevăzute la articolul 10 și în anexele III și VI la Regulamentul (UE) 2021/695. Prin urmare, este necesar ca cel puțin 40 % dintre statele membre să participe la parteneriatul PRIMA extins. În plus, este necesar ca parteneriatul PRIMA să funcționeze într-unul dintre domeniile prioritare pentru parteneriatele europene instituționalizate și ca toate statele participante să își exprime angajamentul financiar pe termen lung. Respectivele condiții sunt deja îndeplinite întrucât rata actuală de participare a statelor membre este de 41 %, parteneriatul PRIMA se încadrează în domeniul prioritar de parteneriat 5: „Biosoluții sustenabile, incluzive și circulare” din anexa VI, iar statele participante și-au declarat angajamentele financiare pe termen lung față de parteneriatul PRIMA.</w:t>
      </w:r>
    </w:p>
    <w:p w14:paraId="69D108A3" w14:textId="0325B72C" w:rsidR="00E13B94" w:rsidRPr="00887F6C" w:rsidRDefault="004432B5" w:rsidP="004432B5">
      <w:pPr>
        <w:pStyle w:val="ManualConsidrant"/>
        <w:rPr>
          <w:noProof/>
          <w:sz w:val="28"/>
          <w:szCs w:val="28"/>
        </w:rPr>
      </w:pPr>
      <w:r w:rsidRPr="004432B5">
        <w:t>(8)</w:t>
      </w:r>
      <w:r w:rsidRPr="004432B5">
        <w:tab/>
      </w:r>
      <w:r w:rsidR="1E18E313" w:rsidRPr="00887F6C">
        <w:rPr>
          <w:noProof/>
        </w:rPr>
        <w:t>Este necesar ca valoarea contribuției financiare a Uniunii la parteneriatul PRIMA să facă obiectul unui angajament formal din partea statelor participante de a aduce o contribuție financiară care să fie cel puțin la nivelul contribuției Uniunii. Din acest motiv, este necesar ca respectarea angajamentelor financiare oficiale să fie monitorizată îndeaproape și în mod regulat de către structura de punere în aplicare a PRIMA (PRIMA-IS).</w:t>
      </w:r>
    </w:p>
    <w:p w14:paraId="13454696" w14:textId="48B281AD" w:rsidR="00E13B94" w:rsidRPr="00887F6C" w:rsidRDefault="004432B5" w:rsidP="004432B5">
      <w:pPr>
        <w:pStyle w:val="ManualConsidrant"/>
        <w:rPr>
          <w:noProof/>
        </w:rPr>
      </w:pPr>
      <w:r w:rsidRPr="004432B5">
        <w:lastRenderedPageBreak/>
        <w:t>(9)</w:t>
      </w:r>
      <w:r w:rsidRPr="004432B5">
        <w:tab/>
      </w:r>
      <w:r w:rsidR="6091A8F7" w:rsidRPr="00887F6C">
        <w:rPr>
          <w:noProof/>
        </w:rPr>
        <w:t>În scopul îndeplinirii obiectivelor PRIMA, este necesar ca totalul contribuției statelor participante să fie cel puțin egal cu contribuția Uniunii. Prin urmare, este necesar ca statele participante să contribuie la fel de mut ca Uniunea în cadrul programului Orizont Europa în conformitate cu principiul prevăzut în anexa III la Regulamentul (UE) 2021/695. Pentru a se asigura faptul că acest principiu este respectat pe deplin, este necesar să fie luate în considerare numai contribuțiile statelor participante efectuate după 31 decembrie 2024.</w:t>
      </w:r>
    </w:p>
    <w:p w14:paraId="63B19526" w14:textId="7FA3C466" w:rsidR="00A22F29" w:rsidRPr="00887F6C" w:rsidRDefault="004432B5" w:rsidP="004432B5">
      <w:pPr>
        <w:pStyle w:val="ManualConsidrant"/>
        <w:rPr>
          <w:noProof/>
        </w:rPr>
      </w:pPr>
      <w:r w:rsidRPr="004432B5">
        <w:t>(10)</w:t>
      </w:r>
      <w:r w:rsidRPr="004432B5">
        <w:tab/>
      </w:r>
      <w:r w:rsidR="00325CE4" w:rsidRPr="00887F6C">
        <w:rPr>
          <w:noProof/>
        </w:rPr>
        <w:t xml:space="preserve">Pentru a asigura angajamentul lor continuu față de obiectivele PRIMA finanțate în temeiul Regulamentului (UE) 2021/695 și angajamentul față de noi obligații în temeiul Regulamentului (UE) 2021/695 și al Regulamentului (UE, Euratom) 2018/1046, este necesar ca Algeria, Egipt, Iordania, Liban și Maroc să accepte în mod oficial noii termeni și noile condiții care decurg din prezenta decizie de modificare, prin încheierea de acorduri cu Uniunea, sub forma unui schimb de scrisori, de modificare și de completare a acordurilor internaționale existente de cooperare științifică și tehnologică încheiate cu ele. Este necesar ca acest fapt să nu afecteze participarea lor la activitățile PRIMA finanțate în temeiul Regulamentului (UE) nr. 1291/2013. </w:t>
      </w:r>
    </w:p>
    <w:p w14:paraId="2EB3B689" w14:textId="4DB6FA0E" w:rsidR="25F056E9" w:rsidRPr="00887F6C" w:rsidRDefault="004432B5" w:rsidP="004432B5">
      <w:pPr>
        <w:pStyle w:val="ManualConsidrant"/>
        <w:rPr>
          <w:rFonts w:eastAsia="Calibri"/>
          <w:noProof/>
        </w:rPr>
      </w:pPr>
      <w:r w:rsidRPr="004432B5">
        <w:t>(11)</w:t>
      </w:r>
      <w:r w:rsidRPr="004432B5">
        <w:tab/>
      </w:r>
      <w:r w:rsidR="00325CE4" w:rsidRPr="00887F6C">
        <w:rPr>
          <w:noProof/>
        </w:rPr>
        <w:t>Este necesar ca suma reprezentând contribuția totală a Uniunii să aibă o valoare maximă. Este necesar să fie posibil, în conformitate cu articolul 16 alineatul (5) din Regulamentul (UE) 2021/695, ca suma reprezentând contribuția Uniunii din programul Orizont Europa la PRIMA să fie majorată cu contribuții din partea țărilor terțe asociate la programul Orizont Europa. Este necesar ca respectiva contribuție din partea statelor participante să fie cel puțin egală cu suma totală cu care se majorează contribuția Uniunii.</w:t>
      </w:r>
    </w:p>
    <w:p w14:paraId="3F6E768B" w14:textId="02AD4EDC" w:rsidR="00500ABE" w:rsidRPr="00887F6C" w:rsidRDefault="004432B5" w:rsidP="004432B5">
      <w:pPr>
        <w:pStyle w:val="ManualConsidrant"/>
        <w:rPr>
          <w:rFonts w:eastAsia="Times New Roman"/>
          <w:noProof/>
        </w:rPr>
      </w:pPr>
      <w:r w:rsidRPr="004432B5">
        <w:t>(12)</w:t>
      </w:r>
      <w:r w:rsidRPr="004432B5">
        <w:tab/>
      </w:r>
      <w:r w:rsidR="00325CE4" w:rsidRPr="00887F6C">
        <w:rPr>
          <w:noProof/>
        </w:rPr>
        <w:t>Ținând seama de obiectivele PRIMA, este necesar ca entitățile stabilite în țări terțe care nu sunt state participante să fie eligibile pentru a solicita finanțare pentru teme specifice ale cererilor de propuneri prevăzute în programul anual de lucru al PRIMA. Este necesar să fie luate toate măsurile adecvate, inclusiv măsuri contractuale, pentru a proteja interesele financiare ale Uniunii. În acest scop, este necesar să fie încheiate acorduri științifice și tehnologice cu țările terțe în care sunt stabilite astfel de entități.</w:t>
      </w:r>
    </w:p>
    <w:p w14:paraId="0BC684FF" w14:textId="58E5CB18" w:rsidR="00500ABE" w:rsidRPr="00887F6C" w:rsidRDefault="004432B5" w:rsidP="004432B5">
      <w:pPr>
        <w:pStyle w:val="ManualConsidrant"/>
        <w:rPr>
          <w:noProof/>
        </w:rPr>
      </w:pPr>
      <w:r w:rsidRPr="004432B5">
        <w:t>(13)</w:t>
      </w:r>
      <w:r w:rsidRPr="004432B5">
        <w:tab/>
      </w:r>
      <w:r w:rsidR="2972566C" w:rsidRPr="00887F6C">
        <w:rPr>
          <w:noProof/>
        </w:rPr>
        <w:t xml:space="preserve">În timp ce este necesar ca auditurile </w:t>
      </w:r>
      <w:r w:rsidR="2972566C" w:rsidRPr="00887F6C">
        <w:rPr>
          <w:i/>
          <w:iCs/>
          <w:noProof/>
        </w:rPr>
        <w:t>ex post</w:t>
      </w:r>
      <w:r w:rsidR="2972566C" w:rsidRPr="00887F6C">
        <w:rPr>
          <w:noProof/>
        </w:rPr>
        <w:t xml:space="preserve"> ale cheltuielilor privind acțiunile indirecte finanțate în temeiul Regulamentului (UE) nr. 1291/2013 să fie efectuate în continuare în conformitate cu dispozițiile relevante din regulamentul respectiv, este necesar ca acțiunile indirecte finanțate în cadrul programului Orizont Europa să fie auditate în conformitate cu Regulamentul (UE) 2021/695. </w:t>
      </w:r>
    </w:p>
    <w:p w14:paraId="59E8DD96" w14:textId="43EF92F6" w:rsidR="00500ABE" w:rsidRPr="00887F6C" w:rsidRDefault="004432B5" w:rsidP="004432B5">
      <w:pPr>
        <w:pStyle w:val="ManualConsidrant"/>
        <w:rPr>
          <w:noProof/>
        </w:rPr>
      </w:pPr>
      <w:r w:rsidRPr="004432B5">
        <w:t>(14)</w:t>
      </w:r>
      <w:r w:rsidRPr="004432B5">
        <w:tab/>
      </w:r>
      <w:r w:rsidR="05EC9BA1" w:rsidRPr="00887F6C">
        <w:rPr>
          <w:noProof/>
        </w:rPr>
        <w:t>Regulamentul (UE) 2021/695 pune un accent mai mare pe accesul Comisiei la rezultate și la alte informații legate de acțiuni, în scopul elaborării, punerii în aplicare și monitorizării politicilor sau programelor Uniunii în cazul parteneriatelor europene instituționalizate. Prin urmare, este necesar ca PRIMA-IS să asigure accesul Comisiei la toate informațiile legate de acțiunile indirecte pe care le finanțează, inclusiv la contribuțiile și rezultatele beneficiarilor care participă la acțiuni indirecte. Pentru a-și susține interesul, este necesar ca și statele participante să aibă acces la informații referitoare la propuneri care includ solicitanți stabiliți pe teritoriul lor. Este necesar ca aceste drepturi de acces să respecte normele de confidențialitate aplicabile.</w:t>
      </w:r>
    </w:p>
    <w:p w14:paraId="5589B11C" w14:textId="3685BEA5" w:rsidR="00500ABE" w:rsidRPr="00887F6C" w:rsidRDefault="004432B5" w:rsidP="004432B5">
      <w:pPr>
        <w:pStyle w:val="ManualConsidrant"/>
        <w:rPr>
          <w:noProof/>
        </w:rPr>
      </w:pPr>
      <w:r w:rsidRPr="004432B5">
        <w:t>(15)</w:t>
      </w:r>
      <w:r w:rsidRPr="004432B5">
        <w:tab/>
      </w:r>
      <w:r w:rsidR="4B642941" w:rsidRPr="00887F6C">
        <w:rPr>
          <w:noProof/>
        </w:rPr>
        <w:t xml:space="preserve">Extinderea PRIMA necesită monitorizarea și evaluarea acestui parteneriat în conformitate cu dispozițiile referitoare la programul Orizont Europa. Este necesară efectuarea de către Comisie a unei evaluări intermediare a PRIMA până cel târziu la 31 decembrie 2025 și a unei evaluări finale până cel târziu la 31 decembrie 2031, care să fie integrate în evaluările intermediare și finale ale întregului program Orizont Europa. Este necesar ca evaluările să analizeze calitatea și eficiența PRIMA și progresele </w:t>
      </w:r>
      <w:r w:rsidR="4B642941" w:rsidRPr="00887F6C">
        <w:rPr>
          <w:noProof/>
        </w:rPr>
        <w:lastRenderedPageBreak/>
        <w:t xml:space="preserve">înregistrate în direcția atingerii obiectivelor sale. Este necesară publicarea și diseminarea de către Comisie a rezultatelor și concluziilor acestor evaluări. În conformitate cu articolul 10 alineatul (2) litera (c) din Regulamentul (UE) 2021/695, este necesar ca PRIMA să aibă o abordare clară bazată pe ciclul de viață, să fie limitat în timp și să includă condiții pentru eliminarea treptată a finanțării în cadrul Programului Orizont Europa. </w:t>
      </w:r>
    </w:p>
    <w:p w14:paraId="1E5C7569" w14:textId="0439BFF5" w:rsidR="00500ABE" w:rsidRPr="00887F6C" w:rsidRDefault="004432B5" w:rsidP="004432B5">
      <w:pPr>
        <w:pStyle w:val="ManualConsidrant"/>
        <w:rPr>
          <w:noProof/>
        </w:rPr>
      </w:pPr>
      <w:r w:rsidRPr="004432B5">
        <w:t>(16)</w:t>
      </w:r>
      <w:r w:rsidRPr="004432B5">
        <w:tab/>
      </w:r>
      <w:r w:rsidR="279DEA19" w:rsidRPr="00887F6C">
        <w:rPr>
          <w:noProof/>
        </w:rPr>
        <w:t>Prin urmare, este necesar ca Decizia (UE) 2017/1324 să fie modificată în consecință,</w:t>
      </w:r>
    </w:p>
    <w:p w14:paraId="5C1108BF" w14:textId="77777777" w:rsidR="00C26153" w:rsidRPr="00887F6C" w:rsidRDefault="00C26153" w:rsidP="00867EAF">
      <w:pPr>
        <w:pStyle w:val="Formuledadoption"/>
        <w:rPr>
          <w:noProof/>
        </w:rPr>
      </w:pPr>
      <w:r w:rsidRPr="00887F6C">
        <w:rPr>
          <w:noProof/>
        </w:rPr>
        <w:t>ADOPTĂ PREZENTA DECIZIE:</w:t>
      </w:r>
    </w:p>
    <w:p w14:paraId="14896BCB" w14:textId="77777777" w:rsidR="00C26153" w:rsidRPr="00887F6C" w:rsidRDefault="00C26153" w:rsidP="004831E6">
      <w:pPr>
        <w:pStyle w:val="Titrearticle"/>
        <w:rPr>
          <w:noProof/>
        </w:rPr>
      </w:pPr>
      <w:r w:rsidRPr="00887F6C">
        <w:rPr>
          <w:noProof/>
        </w:rPr>
        <w:t>Articolul 1</w:t>
      </w:r>
    </w:p>
    <w:p w14:paraId="76F90D81" w14:textId="77777777" w:rsidR="00C26153" w:rsidRPr="00887F6C" w:rsidRDefault="00500ABE" w:rsidP="004831E6">
      <w:pPr>
        <w:rPr>
          <w:noProof/>
        </w:rPr>
      </w:pPr>
      <w:r w:rsidRPr="00887F6C">
        <w:rPr>
          <w:noProof/>
        </w:rPr>
        <w:t>Decizia (UE) 2017/1324 se modifică după cum urmează:</w:t>
      </w:r>
    </w:p>
    <w:p w14:paraId="4B8807FF" w14:textId="77777777" w:rsidR="003901AB" w:rsidRPr="00887F6C" w:rsidRDefault="00E66511" w:rsidP="00CB32EC">
      <w:pPr>
        <w:rPr>
          <w:noProof/>
        </w:rPr>
      </w:pPr>
      <w:r w:rsidRPr="00887F6C">
        <w:rPr>
          <w:noProof/>
        </w:rPr>
        <w:t>(1)</w:t>
      </w:r>
      <w:r w:rsidRPr="00887F6C">
        <w:rPr>
          <w:noProof/>
        </w:rPr>
        <w:tab/>
        <w:t>Articolul 1 se modifică după cum urmează:</w:t>
      </w:r>
    </w:p>
    <w:p w14:paraId="3CA79E79" w14:textId="77777777" w:rsidR="00500ABE" w:rsidRPr="00887F6C" w:rsidRDefault="00C423CC" w:rsidP="00E66511">
      <w:pPr>
        <w:ind w:firstLine="720"/>
        <w:rPr>
          <w:noProof/>
        </w:rPr>
      </w:pPr>
      <w:r w:rsidRPr="00887F6C">
        <w:rPr>
          <w:noProof/>
        </w:rPr>
        <w:t>(a) alineatul (1) se înlocuiește cu următorul text:</w:t>
      </w:r>
    </w:p>
    <w:p w14:paraId="057763D3" w14:textId="77777777" w:rsidR="00541D89" w:rsidRPr="00887F6C" w:rsidRDefault="1206CB8B" w:rsidP="005607B9">
      <w:pPr>
        <w:spacing w:after="240"/>
        <w:ind w:left="960"/>
        <w:rPr>
          <w:bCs/>
          <w:noProof/>
          <w:color w:val="000000" w:themeColor="text1"/>
        </w:rPr>
      </w:pPr>
      <w:r w:rsidRPr="00887F6C">
        <w:rPr>
          <w:noProof/>
        </w:rPr>
        <w:t>„1. </w:t>
      </w:r>
      <w:r w:rsidRPr="00887F6C">
        <w:rPr>
          <w:noProof/>
          <w:color w:val="000000" w:themeColor="text1"/>
        </w:rPr>
        <w:t>Uniunea participă la Parteneriatul în domeniul cercetării și inovării în zona mediteraneeană („PRIMA”), un parteneriat european instituționalizat, astfel cum se menționează la articolul 10 alineatul (1) litera (c) din Regulamentul (UE) 2021/695 al Parlamentului European și al Consiliului</w:t>
      </w:r>
      <w:r w:rsidRPr="00887F6C">
        <w:rPr>
          <w:rStyle w:val="Referinnotdesubsol"/>
          <w:bCs/>
          <w:noProof/>
          <w:color w:val="000000" w:themeColor="text1"/>
        </w:rPr>
        <w:footnoteReference w:id="26"/>
      </w:r>
      <w:r w:rsidRPr="00887F6C">
        <w:rPr>
          <w:noProof/>
          <w:color w:val="000000" w:themeColor="text1"/>
        </w:rPr>
        <w:t>, derulat în comun de Croația, Cipru, Franța, Germania, Grecia, Israel, Italia, Luxemburg, Malta, Portugalia, Slovenia, Spania, Tunisia și Turcia («state participante»), în conformitate cu condițiile prevăzute în prezenta decizie și după notificarea participării lor la activitățile PRIMA prin semnarea unei scrisori de angajament.”;</w:t>
      </w:r>
    </w:p>
    <w:p w14:paraId="503D3D4A" w14:textId="77777777" w:rsidR="00500ABE" w:rsidRPr="00887F6C" w:rsidRDefault="00C20402" w:rsidP="00E66511">
      <w:pPr>
        <w:ind w:firstLine="720"/>
        <w:rPr>
          <w:noProof/>
        </w:rPr>
      </w:pPr>
      <w:r w:rsidRPr="00887F6C">
        <w:rPr>
          <w:noProof/>
        </w:rPr>
        <w:t>(b) alineatul (2) se înlocuiește cu următorul text:</w:t>
      </w:r>
    </w:p>
    <w:p w14:paraId="58651D18" w14:textId="77777777" w:rsidR="00C423CC" w:rsidRPr="00887F6C" w:rsidRDefault="1206CB8B" w:rsidP="00454D8A">
      <w:pPr>
        <w:spacing w:before="0" w:after="160" w:line="257" w:lineRule="auto"/>
        <w:ind w:left="960"/>
        <w:rPr>
          <w:rFonts w:eastAsia="Times New Roman"/>
          <w:noProof/>
          <w:szCs w:val="24"/>
        </w:rPr>
      </w:pPr>
      <w:r w:rsidRPr="00887F6C">
        <w:rPr>
          <w:noProof/>
        </w:rPr>
        <w:t>„2. Algeria, Egipt, Iordania, Liban și Maroc continuă să fie state participante la activitățile PRIMA finanțate în temeiul articolului 3 alineatul (1) litera (a). În scopul participării lor la activitățile PRIMA finanțate în temeiul articolului 3 alineatul (1) litera (b), ele sunt considerate state participante numai sub rezerva încheierii unui acord, sub forma unui schimb de scrisori, de modificare și de completare a acordurilor internaționale existente de cooperare științifică și tehnologică cu Uniunea și de stabilire a noilor termeni și condiții privind participarea lor la PRIMA.”;</w:t>
      </w:r>
    </w:p>
    <w:p w14:paraId="3A19FA0F" w14:textId="77777777" w:rsidR="00500ABE" w:rsidRPr="00887F6C" w:rsidRDefault="00C423CC" w:rsidP="00E66511">
      <w:pPr>
        <w:ind w:firstLine="720"/>
        <w:rPr>
          <w:noProof/>
        </w:rPr>
      </w:pPr>
      <w:r w:rsidRPr="00887F6C">
        <w:rPr>
          <w:noProof/>
        </w:rPr>
        <w:t>(c) alineatele (3) și (4) se înlocuiesc cu următorul text:</w:t>
      </w:r>
    </w:p>
    <w:p w14:paraId="119AF136" w14:textId="77777777" w:rsidR="00500ABE" w:rsidRPr="00887F6C" w:rsidRDefault="5D6A2FF8" w:rsidP="00454D8A">
      <w:pPr>
        <w:ind w:left="960"/>
        <w:rPr>
          <w:noProof/>
        </w:rPr>
      </w:pPr>
      <w:r w:rsidRPr="00887F6C">
        <w:rPr>
          <w:noProof/>
        </w:rPr>
        <w:t xml:space="preserve">„3. Orice stat membru și orice țară terță asociată la Orizont 2020 sau la Orizont Europa, altele decât cele enumerate la alineatul (1) din prezentul articol, poate participa la PRIMA dacă îndeplinește condiția prevăzută la articolul 4 alineatul (1) litera (c) și dacă respectă, în special, articolul 11 alineatul (5). Ele trebuie să semnează o scrisoare de angajament care să confirme termenii și condițiile participării lor la PRIMA în ceea ce privește Orizont 2020 sau, respectiv, Orizont Europa. </w:t>
      </w:r>
    </w:p>
    <w:p w14:paraId="00245D58" w14:textId="77777777" w:rsidR="00F129BF" w:rsidRPr="00887F6C" w:rsidRDefault="6C1FE1C3" w:rsidP="005607B9">
      <w:pPr>
        <w:spacing w:after="240"/>
        <w:ind w:left="960"/>
        <w:rPr>
          <w:noProof/>
        </w:rPr>
      </w:pPr>
      <w:r w:rsidRPr="00887F6C">
        <w:rPr>
          <w:noProof/>
        </w:rPr>
        <w:lastRenderedPageBreak/>
        <w:t>Statele membre și țările terțe asociate la Orizont 2020 sau la Orizont Europa care îndeplinesc condițiile de la primul paragraf, se consideră state participante în sensul prezentei decizii.</w:t>
      </w:r>
    </w:p>
    <w:p w14:paraId="0E1D9957" w14:textId="77777777" w:rsidR="00F129BF" w:rsidRPr="00887F6C" w:rsidRDefault="3A8EF9C6" w:rsidP="00454D8A">
      <w:pPr>
        <w:ind w:left="960"/>
        <w:rPr>
          <w:noProof/>
        </w:rPr>
      </w:pPr>
      <w:r w:rsidRPr="00887F6C">
        <w:rPr>
          <w:noProof/>
        </w:rPr>
        <w:t xml:space="preserve">4. Orice altă țară terță care nu este asociată la Orizont 2020 sau la Orizont Europa, în afara celor menționate la alineatul (2), poate participa la PRIMA, dacă: </w:t>
      </w:r>
    </w:p>
    <w:p w14:paraId="20906411" w14:textId="77777777" w:rsidR="5F35BA10" w:rsidRPr="00887F6C" w:rsidRDefault="00702426" w:rsidP="00454D8A">
      <w:pPr>
        <w:ind w:left="1320" w:hanging="360"/>
        <w:rPr>
          <w:noProof/>
        </w:rPr>
      </w:pPr>
      <w:r w:rsidRPr="00887F6C">
        <w:rPr>
          <w:noProof/>
        </w:rPr>
        <w:t xml:space="preserve">(a) îndeplinește condiția prevăzută la articolul 4 alineatul (1) litera (c) și respectă, în special, articolul 11 alineatul (5); </w:t>
      </w:r>
    </w:p>
    <w:p w14:paraId="5E5BB0A1" w14:textId="77777777" w:rsidR="5F35BA10" w:rsidRPr="00887F6C" w:rsidRDefault="35974E03" w:rsidP="00454D8A">
      <w:pPr>
        <w:ind w:left="1320" w:hanging="360"/>
        <w:rPr>
          <w:noProof/>
        </w:rPr>
      </w:pPr>
      <w:r w:rsidRPr="00887F6C">
        <w:rPr>
          <w:noProof/>
        </w:rPr>
        <w:t>(b) structura de implementare a PRISMA („PRIMA-IS”) aprobă participarea ei la PRIMA după examinarea relevanței participării ei pentru realizarea obiectivelor PRIMA; și</w:t>
      </w:r>
    </w:p>
    <w:p w14:paraId="7E93F557" w14:textId="77777777" w:rsidR="5F35BA10" w:rsidRPr="00887F6C" w:rsidRDefault="35974E03" w:rsidP="00454D8A">
      <w:pPr>
        <w:ind w:left="1320" w:hanging="360"/>
        <w:rPr>
          <w:noProof/>
        </w:rPr>
      </w:pPr>
      <w:r w:rsidRPr="00887F6C">
        <w:rPr>
          <w:noProof/>
        </w:rPr>
        <w:t>(c) încheie un acord internațional de cooperare științifică și tehnologică cu Uniunea, care stabilește termenii și condițiile participării sale la PRIMA.</w:t>
      </w:r>
    </w:p>
    <w:p w14:paraId="0D37F72E" w14:textId="77777777" w:rsidR="75F2889E" w:rsidRPr="00887F6C" w:rsidRDefault="3DE53F83" w:rsidP="00454D8A">
      <w:pPr>
        <w:ind w:left="960"/>
        <w:rPr>
          <w:noProof/>
        </w:rPr>
      </w:pPr>
      <w:r w:rsidRPr="00887F6C">
        <w:rPr>
          <w:noProof/>
        </w:rPr>
        <w:t>Țările terțe care îndeplinesc condițiile prevăzute la primul paragraf se consideră state participante în sensul prezentei decizii.”;</w:t>
      </w:r>
    </w:p>
    <w:p w14:paraId="37125AD5" w14:textId="77777777" w:rsidR="00E23C9A" w:rsidRPr="00887F6C" w:rsidRDefault="00E23C9A" w:rsidP="00CB32EC">
      <w:pPr>
        <w:rPr>
          <w:noProof/>
        </w:rPr>
      </w:pPr>
    </w:p>
    <w:p w14:paraId="56335CEB" w14:textId="77777777" w:rsidR="00500ABE" w:rsidRPr="00887F6C" w:rsidRDefault="00E66511" w:rsidP="00CB32EC">
      <w:pPr>
        <w:rPr>
          <w:noProof/>
        </w:rPr>
      </w:pPr>
      <w:r w:rsidRPr="00887F6C">
        <w:rPr>
          <w:noProof/>
        </w:rPr>
        <w:t>(2)</w:t>
      </w:r>
      <w:r w:rsidRPr="00887F6C">
        <w:rPr>
          <w:noProof/>
        </w:rPr>
        <w:tab/>
        <w:t>La articolul 2, alineatul (1) se înlocuiește cu următorul text:</w:t>
      </w:r>
    </w:p>
    <w:p w14:paraId="0B807E6A" w14:textId="77777777" w:rsidR="00F129BF" w:rsidRPr="00887F6C" w:rsidRDefault="254FCCAC" w:rsidP="00454D8A">
      <w:pPr>
        <w:pStyle w:val="Listparagraf"/>
        <w:ind w:left="960"/>
        <w:rPr>
          <w:noProof/>
        </w:rPr>
      </w:pPr>
      <w:r w:rsidRPr="00887F6C">
        <w:rPr>
          <w:rStyle w:val="normaltextrun"/>
          <w:noProof/>
          <w:color w:val="000000" w:themeColor="text1"/>
        </w:rPr>
        <w:t>„1. </w:t>
      </w:r>
      <w:r w:rsidRPr="00887F6C">
        <w:rPr>
          <w:rStyle w:val="normaltextrun"/>
          <w:noProof/>
        </w:rPr>
        <w:t>PRIMA contribuie la îndeplinirea obiectivelor generale și specifice ale Regulamentului (UE) 2021/695, în special la cele menționate la articolul 3, și îndeplinește obiectivele generale de consolidare a capacităților de cercetare și inovare și de dezvoltare a cunoștințelor și a soluțiilor inovatoare comune pentru sistemele agroalimentare, astfel încât acestea să devină sustenabile, precum și pentru alimentarea și gestionarea integrată a apei în zona mediteraneeană, astfel încât aceste sisteme, gestionarea lor și aprovizionare din cadrul lor să devină mai rezistente la schimbările climatice, mai eficace, mai eficiente din punctul de vedere al costurilor și mai sustenabile din punct de vedere social și al mediului, precum și să contribuie la soluționarea în amonte a problemelor legate de deficitul de apă, securitatea alimentară, nutriție, sănătate, bunăstare și migrație.”</w:t>
      </w:r>
      <w:r w:rsidRPr="00887F6C">
        <w:rPr>
          <w:rStyle w:val="eop"/>
          <w:noProof/>
          <w:color w:val="000000" w:themeColor="text1"/>
        </w:rPr>
        <w:t xml:space="preserve"> ;</w:t>
      </w:r>
    </w:p>
    <w:p w14:paraId="5B7E5038" w14:textId="77777777" w:rsidR="00500ABE" w:rsidRPr="00887F6C" w:rsidRDefault="00500ABE" w:rsidP="00500ABE">
      <w:pPr>
        <w:rPr>
          <w:noProof/>
        </w:rPr>
      </w:pPr>
    </w:p>
    <w:p w14:paraId="17D85887" w14:textId="77777777" w:rsidR="00500ABE" w:rsidRPr="00887F6C" w:rsidRDefault="00E23C9A" w:rsidP="00CB32EC">
      <w:pPr>
        <w:rPr>
          <w:rStyle w:val="normaltextrun"/>
          <w:rFonts w:eastAsia="Times New Roman"/>
          <w:noProof/>
          <w:color w:val="000000" w:themeColor="text1"/>
        </w:rPr>
      </w:pPr>
      <w:r w:rsidRPr="00887F6C">
        <w:rPr>
          <w:rStyle w:val="normaltextrun"/>
          <w:noProof/>
          <w:color w:val="000000" w:themeColor="text1"/>
        </w:rPr>
        <w:t>(3)</w:t>
      </w:r>
      <w:r w:rsidRPr="00887F6C">
        <w:rPr>
          <w:noProof/>
        </w:rPr>
        <w:tab/>
      </w:r>
      <w:r w:rsidRPr="00887F6C">
        <w:rPr>
          <w:rStyle w:val="normaltextrun"/>
          <w:noProof/>
          <w:color w:val="000000" w:themeColor="text1"/>
        </w:rPr>
        <w:t>Articolul 3 se modifică după cum urmează:</w:t>
      </w:r>
    </w:p>
    <w:p w14:paraId="61C8E0E6" w14:textId="77777777" w:rsidR="00942167" w:rsidRPr="00887F6C" w:rsidRDefault="00942167" w:rsidP="00E66511">
      <w:pPr>
        <w:ind w:firstLine="720"/>
        <w:rPr>
          <w:rStyle w:val="normaltextrun"/>
          <w:rFonts w:eastAsia="Times New Roman"/>
          <w:noProof/>
          <w:color w:val="000000"/>
        </w:rPr>
      </w:pPr>
      <w:r w:rsidRPr="00887F6C">
        <w:rPr>
          <w:rStyle w:val="normaltextrun"/>
          <w:noProof/>
          <w:color w:val="000000" w:themeColor="text1"/>
        </w:rPr>
        <w:t>(a) alineatele (1) și (2) se înlocuiesc cu următorul text:</w:t>
      </w:r>
    </w:p>
    <w:p w14:paraId="7268B7AF" w14:textId="77777777" w:rsidR="0079307D" w:rsidRPr="00887F6C" w:rsidRDefault="00F10A92" w:rsidP="00454D8A">
      <w:pPr>
        <w:pStyle w:val="paragraph"/>
        <w:shd w:val="clear" w:color="auto" w:fill="FFFFFF" w:themeFill="background1"/>
        <w:spacing w:before="0" w:beforeAutospacing="0" w:after="120" w:afterAutospacing="0"/>
        <w:ind w:left="960"/>
        <w:jc w:val="both"/>
        <w:textAlignment w:val="baseline"/>
        <w:rPr>
          <w:rStyle w:val="normaltextrun"/>
          <w:rFonts w:eastAsiaTheme="minorEastAsia"/>
          <w:noProof/>
          <w:color w:val="000000"/>
        </w:rPr>
      </w:pPr>
      <w:r w:rsidRPr="00887F6C">
        <w:rPr>
          <w:rStyle w:val="normaltextrun"/>
          <w:noProof/>
          <w:color w:val="000000" w:themeColor="text1"/>
        </w:rPr>
        <w:t>„1. Contribuția financiară a Uniunii la PRIMA, inclusiv creditele SEE, este egală cu contribuțiile statelor participante la PRIMA. Contribuția Uniunii este de până la 325 000 000 EUR și se distribuie după cum urmează:</w:t>
      </w:r>
      <w:r w:rsidRPr="00887F6C">
        <w:rPr>
          <w:rStyle w:val="normaltextrun"/>
          <w:noProof/>
        </w:rPr>
        <w:t xml:space="preserve"> </w:t>
      </w:r>
    </w:p>
    <w:p w14:paraId="365BB680" w14:textId="77777777" w:rsidR="0079307D" w:rsidRPr="00887F6C" w:rsidRDefault="0478DF01" w:rsidP="00F10A92">
      <w:pPr>
        <w:pStyle w:val="paragraph"/>
        <w:shd w:val="clear" w:color="auto" w:fill="FFFFFF" w:themeFill="background1"/>
        <w:spacing w:before="0" w:beforeAutospacing="0" w:after="120" w:afterAutospacing="0"/>
        <w:ind w:left="1440" w:hanging="480"/>
        <w:jc w:val="both"/>
        <w:textAlignment w:val="baseline"/>
        <w:rPr>
          <w:rStyle w:val="normaltextrun"/>
          <w:noProof/>
          <w:color w:val="000000"/>
        </w:rPr>
      </w:pPr>
      <w:r w:rsidRPr="00887F6C">
        <w:rPr>
          <w:rStyle w:val="normaltextrun"/>
          <w:noProof/>
          <w:color w:val="000000" w:themeColor="text1"/>
        </w:rPr>
        <w:t xml:space="preserve">(a) până la 220 000 000 EUR din programul Orizont 2020; </w:t>
      </w:r>
    </w:p>
    <w:p w14:paraId="77752523" w14:textId="77777777" w:rsidR="0079307D" w:rsidRPr="00887F6C" w:rsidRDefault="0478DF01" w:rsidP="00F10A92">
      <w:pPr>
        <w:pStyle w:val="paragraph"/>
        <w:shd w:val="clear" w:color="auto" w:fill="FFFFFF" w:themeFill="background1"/>
        <w:spacing w:before="0" w:beforeAutospacing="0" w:after="0" w:afterAutospacing="0"/>
        <w:ind w:left="1440" w:hanging="480"/>
        <w:jc w:val="both"/>
        <w:textAlignment w:val="baseline"/>
        <w:rPr>
          <w:rStyle w:val="normaltextrun"/>
          <w:noProof/>
          <w:color w:val="000000"/>
        </w:rPr>
      </w:pPr>
      <w:r w:rsidRPr="00887F6C">
        <w:rPr>
          <w:rStyle w:val="normaltextrun"/>
          <w:noProof/>
          <w:color w:val="000000" w:themeColor="text1"/>
        </w:rPr>
        <w:t>(b) până la 105 000 000 EUR din programul Orizont Europa.</w:t>
      </w:r>
    </w:p>
    <w:p w14:paraId="641EAB58" w14:textId="77777777" w:rsidR="0079307D" w:rsidRPr="00887F6C" w:rsidRDefault="0478DF01" w:rsidP="005607B9">
      <w:pPr>
        <w:pStyle w:val="paragraph"/>
        <w:shd w:val="clear" w:color="auto" w:fill="FFFFFF" w:themeFill="background1"/>
        <w:spacing w:before="120" w:beforeAutospacing="0" w:after="240" w:afterAutospacing="0"/>
        <w:ind w:left="960"/>
        <w:jc w:val="both"/>
        <w:textAlignment w:val="baseline"/>
        <w:rPr>
          <w:rStyle w:val="normaltextrun"/>
          <w:noProof/>
          <w:color w:val="000000" w:themeColor="text1"/>
        </w:rPr>
      </w:pPr>
      <w:r w:rsidRPr="00887F6C">
        <w:rPr>
          <w:rStyle w:val="normaltextrun"/>
          <w:noProof/>
          <w:color w:val="000000" w:themeColor="text1"/>
        </w:rPr>
        <w:t>Cuantumul contribuției financiare a Uniunii din programul Orizont Europa poate fi majorat prin contribuții din partea țărilor terțe asociate la programul Orizont Europa în conformitate cu articolul 16 alineatul (5) din Regulamentul (UE) 2021/695 dacă contribuția din partea statelor participante menționată la articolul 1 alineatul (1) este cel puțin egală cu creșterea totală a contribuției Uniunii.</w:t>
      </w:r>
    </w:p>
    <w:p w14:paraId="07A04416" w14:textId="77777777" w:rsidR="00942AC6" w:rsidRPr="00887F6C" w:rsidRDefault="0478DF01" w:rsidP="005607B9">
      <w:pPr>
        <w:spacing w:after="240"/>
        <w:ind w:left="960"/>
        <w:rPr>
          <w:rFonts w:eastAsia="Times New Roman"/>
          <w:noProof/>
        </w:rPr>
      </w:pPr>
      <w:r w:rsidRPr="00887F6C">
        <w:rPr>
          <w:rStyle w:val="normaltextrun"/>
          <w:noProof/>
          <w:color w:val="000000" w:themeColor="text1"/>
        </w:rPr>
        <w:t>2. </w:t>
      </w:r>
      <w:r w:rsidRPr="00887F6C">
        <w:rPr>
          <w:noProof/>
        </w:rPr>
        <w:t xml:space="preserve">Contribuția financiară a Uniunii menționată la alineatul (1) litera (a) de la prezentul articol se plătește din creditele din bugetul general al Uniunii alocate părților relevante din programul specific de punere în aplicare a Orizont 2020, instituit prin </w:t>
      </w:r>
      <w:r w:rsidRPr="00887F6C">
        <w:rPr>
          <w:noProof/>
        </w:rPr>
        <w:lastRenderedPageBreak/>
        <w:t xml:space="preserve">Decizia 2013/743/UE a Consiliului, în special din partea II „Poziția de lider în sectorul industrial” și din partea III „Provocări societale”, în conformitate cu articolul 57 din </w:t>
      </w:r>
      <w:r w:rsidRPr="00887F6C">
        <w:rPr>
          <w:rStyle w:val="normaltextrun"/>
          <w:noProof/>
          <w:color w:val="000000" w:themeColor="text1"/>
        </w:rPr>
        <w:t>Regulamentul (UE) 2021/695 și cu articolul 62 alineatul (1) litera (c) punctul (vii)</w:t>
      </w:r>
      <w:r w:rsidRPr="00887F6C">
        <w:rPr>
          <w:noProof/>
        </w:rPr>
        <w:t xml:space="preserve"> din Regulamentul (UE, Euratom) 2018/1046.” ;</w:t>
      </w:r>
    </w:p>
    <w:p w14:paraId="2A60AFCC" w14:textId="77777777" w:rsidR="2CAFF1C3" w:rsidRPr="00887F6C" w:rsidRDefault="00942167" w:rsidP="00E66511">
      <w:pPr>
        <w:ind w:firstLine="720"/>
        <w:rPr>
          <w:rStyle w:val="normaltextrun"/>
          <w:rFonts w:eastAsia="Times New Roman"/>
          <w:noProof/>
          <w:color w:val="000000" w:themeColor="text1"/>
        </w:rPr>
      </w:pPr>
      <w:r w:rsidRPr="00887F6C">
        <w:rPr>
          <w:rStyle w:val="normaltextrun"/>
          <w:noProof/>
          <w:color w:val="000000" w:themeColor="text1"/>
        </w:rPr>
        <w:t>(b) se introduce următorul alineat (2a):</w:t>
      </w:r>
    </w:p>
    <w:p w14:paraId="5A44FA9A" w14:textId="77777777" w:rsidR="004B3BDF" w:rsidRPr="00887F6C" w:rsidRDefault="3A8EF9C6" w:rsidP="00454D8A">
      <w:pPr>
        <w:ind w:left="960"/>
        <w:rPr>
          <w:rStyle w:val="normaltextrun"/>
          <w:noProof/>
          <w:color w:val="000000" w:themeColor="text1"/>
        </w:rPr>
      </w:pPr>
      <w:r w:rsidRPr="00887F6C">
        <w:rPr>
          <w:rStyle w:val="normaltextrun"/>
          <w:noProof/>
          <w:color w:val="000000" w:themeColor="text1"/>
        </w:rPr>
        <w:t>„2a. Contribuția financiară a Uniunii menționată la alineatul (1) litera (b) de la prezentul articol se plătește din creditele din bugetul general al Uniunii alocate părților relevante ale programului specific de punere în aplicare a programului Orizont Europa, instituit prin Decizia 2021/764 a Consiliului</w:t>
      </w:r>
      <w:r w:rsidRPr="00887F6C">
        <w:rPr>
          <w:rStyle w:val="Referinnotdesubsol"/>
          <w:noProof/>
          <w:color w:val="000000" w:themeColor="text1"/>
        </w:rPr>
        <w:footnoteReference w:id="27"/>
      </w:r>
      <w:r w:rsidRPr="00887F6C">
        <w:rPr>
          <w:rStyle w:val="normaltextrun"/>
          <w:noProof/>
          <w:color w:val="000000" w:themeColor="text1"/>
        </w:rPr>
        <w:t>, în special din pilonul II, „Provocări globale și competitivitate industrială europeană”, clusterul (vi) „Alimente, bioeconomie, resurse naturale, agricultură și mediu” și în conformitate cu articolul 62 alineatul (1) litera (c) punctul (vii) din Regulamentul (UE, Euratom) 2018/1046.” ;</w:t>
      </w:r>
    </w:p>
    <w:p w14:paraId="234EC974" w14:textId="77777777" w:rsidR="00E23C9A" w:rsidRPr="00887F6C" w:rsidRDefault="00E23C9A" w:rsidP="004831E6">
      <w:pPr>
        <w:rPr>
          <w:noProof/>
        </w:rPr>
      </w:pPr>
    </w:p>
    <w:p w14:paraId="20932303" w14:textId="77777777" w:rsidR="00500ABE" w:rsidRPr="00887F6C" w:rsidRDefault="006A3363" w:rsidP="004831E6">
      <w:pPr>
        <w:rPr>
          <w:noProof/>
        </w:rPr>
      </w:pPr>
      <w:r w:rsidRPr="00887F6C">
        <w:rPr>
          <w:noProof/>
        </w:rPr>
        <w:t>(4)</w:t>
      </w:r>
      <w:r w:rsidRPr="00887F6C">
        <w:rPr>
          <w:noProof/>
        </w:rPr>
        <w:tab/>
        <w:t>Articolul 4 se modifică după cum urmează:</w:t>
      </w:r>
    </w:p>
    <w:p w14:paraId="47B2E296" w14:textId="77777777" w:rsidR="00942167" w:rsidRPr="00887F6C" w:rsidRDefault="00942167" w:rsidP="00E66511">
      <w:pPr>
        <w:ind w:left="720"/>
        <w:rPr>
          <w:rStyle w:val="normaltextrun"/>
          <w:rFonts w:eastAsia="Times New Roman"/>
          <w:noProof/>
          <w:color w:val="000000" w:themeColor="text1"/>
        </w:rPr>
      </w:pPr>
      <w:r w:rsidRPr="00887F6C">
        <w:rPr>
          <w:rStyle w:val="normaltextrun"/>
          <w:noProof/>
          <w:color w:val="000000" w:themeColor="text1"/>
        </w:rPr>
        <w:t>(a) la alineatul (1), literele (b), (c) și (d) se înlocuiesc cu următorul text:</w:t>
      </w:r>
    </w:p>
    <w:p w14:paraId="34AB6CAF" w14:textId="77777777" w:rsidR="00E41465" w:rsidRPr="00887F6C" w:rsidRDefault="00877A64" w:rsidP="00A570E3">
      <w:pPr>
        <w:ind w:left="1320" w:hanging="360"/>
        <w:rPr>
          <w:noProof/>
        </w:rPr>
      </w:pPr>
      <w:r w:rsidRPr="00887F6C">
        <w:rPr>
          <w:noProof/>
        </w:rPr>
        <w:t>„(b) desemnarea de către statele participante sau de către organizațiile desemnate de statele participante a unei entități cu personalitate juridică, astfel cum se menționează la articolul 62 alineatul (1) litera (c) punctul (vii) din Regulamentul (UE, Euratom) nr. 2018/1046, ca PRIMA-IS, care este responsabilă de punerea în aplicare eficientă a PRIMA, de primirea, alocarea și monitorizarea contribuției financiare a Uniunii menționate la articolul 3 alineatul (1) din prezenta decizie, precum și a contribuțiilor statelor participante, dacă este cazul, și de asigurarea faptului că sunt întreprinse toate acțiunile necesare pentru realizarea obiectivelor PRIMA;</w:t>
      </w:r>
    </w:p>
    <w:p w14:paraId="2F754766" w14:textId="77777777" w:rsidR="00E41465" w:rsidRPr="00887F6C" w:rsidRDefault="00E41465" w:rsidP="00A570E3">
      <w:pPr>
        <w:ind w:left="1320" w:hanging="360"/>
        <w:rPr>
          <w:noProof/>
        </w:rPr>
      </w:pPr>
      <w:r w:rsidRPr="00887F6C">
        <w:rPr>
          <w:noProof/>
        </w:rPr>
        <w:t>(c)</w:t>
      </w:r>
      <w:r w:rsidR="007E67C1" w:rsidRPr="00887F6C">
        <w:rPr>
          <w:noProof/>
        </w:rPr>
        <w:t xml:space="preserve"> </w:t>
      </w:r>
      <w:r w:rsidRPr="00887F6C">
        <w:rPr>
          <w:noProof/>
        </w:rPr>
        <w:t>angajamentul fiecărui stat participant de a contribui la finanțarea PRIMA cu o contribuție din resurse naționale relevante pentru obiectivele PRIMA care este cel puțin egală cu contribuția Uniunii; </w:t>
      </w:r>
    </w:p>
    <w:p w14:paraId="4140D505" w14:textId="77777777" w:rsidR="00E41465" w:rsidRPr="00887F6C" w:rsidRDefault="00E41465" w:rsidP="005607B9">
      <w:pPr>
        <w:spacing w:after="240"/>
        <w:ind w:left="1320" w:hanging="360"/>
        <w:rPr>
          <w:noProof/>
        </w:rPr>
      </w:pPr>
      <w:r w:rsidRPr="00887F6C">
        <w:rPr>
          <w:noProof/>
        </w:rPr>
        <w:t>(d)</w:t>
      </w:r>
      <w:r w:rsidR="007E67C1">
        <w:rPr>
          <w:noProof/>
        </w:rPr>
        <w:t xml:space="preserve"> </w:t>
      </w:r>
      <w:r w:rsidRPr="00887F6C">
        <w:rPr>
          <w:noProof/>
        </w:rPr>
        <w:t>demonstrarea de către PRIMA-IS a capacității sale de a pune în aplicare PRIMA, inclusiv de a primi, de a aloca și de a monitoriza contribuția financiară a Uniunii menționată la articolul 3 alineatul (1) în cadrul gestiunii indirecte a bugetului Uniunii în conformitate cu articolele 62 și 154 din Regulamentul (UE, Euratom) 2018/1046.” ;</w:t>
      </w:r>
    </w:p>
    <w:p w14:paraId="6F38E6CC" w14:textId="77777777" w:rsidR="00E41465" w:rsidRPr="00887F6C" w:rsidRDefault="31A04472" w:rsidP="00E66511">
      <w:pPr>
        <w:ind w:left="720"/>
        <w:rPr>
          <w:noProof/>
        </w:rPr>
      </w:pPr>
      <w:r w:rsidRPr="00887F6C">
        <w:rPr>
          <w:noProof/>
        </w:rPr>
        <w:t>(b) alineatul (2) litera (c) se înlocuiește cu următorul text:</w:t>
      </w:r>
    </w:p>
    <w:p w14:paraId="74FB12F9" w14:textId="77777777" w:rsidR="00E41465" w:rsidRPr="00887F6C" w:rsidRDefault="00766AC0" w:rsidP="005607B9">
      <w:pPr>
        <w:spacing w:after="240"/>
        <w:ind w:left="1320" w:hanging="360"/>
        <w:rPr>
          <w:noProof/>
        </w:rPr>
      </w:pPr>
      <w:r w:rsidRPr="00887F6C">
        <w:rPr>
          <w:noProof/>
        </w:rPr>
        <w:t>„(c) respectarea de către PRIMA-IS a cerințelor de raportare prevăzute la articolul 155 din Regulamentul (UE, Euratom) 2018/1046;”;</w:t>
      </w:r>
    </w:p>
    <w:p w14:paraId="5F13C5D4" w14:textId="77777777" w:rsidR="00C20402" w:rsidRPr="00887F6C" w:rsidRDefault="00C20402" w:rsidP="00C20402">
      <w:pPr>
        <w:ind w:left="1080" w:hanging="360"/>
        <w:rPr>
          <w:noProof/>
        </w:rPr>
      </w:pPr>
      <w:r w:rsidRPr="00887F6C">
        <w:rPr>
          <w:noProof/>
        </w:rPr>
        <w:t>(c) alineatul (3) se înlocuiește cu următorul text:</w:t>
      </w:r>
    </w:p>
    <w:p w14:paraId="14993B19" w14:textId="77777777" w:rsidR="00C20402" w:rsidRPr="00887F6C" w:rsidRDefault="00C20402" w:rsidP="00682664">
      <w:pPr>
        <w:ind w:left="1080" w:hanging="120"/>
        <w:rPr>
          <w:noProof/>
        </w:rPr>
      </w:pPr>
      <w:r w:rsidRPr="00887F6C">
        <w:rPr>
          <w:noProof/>
        </w:rPr>
        <w:t xml:space="preserve">„Comisia evaluează în mod continuu îndeplinirea angajamentelor asumate de statele participante și poate lua măsurile corespunzătoare, inclusiv cele de la articolul 9.”; </w:t>
      </w:r>
    </w:p>
    <w:p w14:paraId="557CE2D5" w14:textId="77777777" w:rsidR="00E41465" w:rsidRPr="00887F6C" w:rsidRDefault="00E41465" w:rsidP="00E41465">
      <w:pPr>
        <w:ind w:left="720"/>
        <w:rPr>
          <w:noProof/>
        </w:rPr>
      </w:pPr>
    </w:p>
    <w:p w14:paraId="3316DA6C" w14:textId="77777777" w:rsidR="00E41465" w:rsidRPr="00887F6C" w:rsidRDefault="00E41465" w:rsidP="00877A64">
      <w:pPr>
        <w:rPr>
          <w:noProof/>
        </w:rPr>
      </w:pPr>
      <w:r w:rsidRPr="00887F6C">
        <w:rPr>
          <w:noProof/>
        </w:rPr>
        <w:lastRenderedPageBreak/>
        <w:t>(5)</w:t>
      </w:r>
      <w:r w:rsidRPr="00887F6C">
        <w:rPr>
          <w:noProof/>
        </w:rPr>
        <w:tab/>
        <w:t>Articolul 5 se modifică după cum urmează:</w:t>
      </w:r>
    </w:p>
    <w:p w14:paraId="0EC6414C" w14:textId="77777777" w:rsidR="00E41465" w:rsidRPr="00887F6C" w:rsidRDefault="00E41465" w:rsidP="00E66511">
      <w:pPr>
        <w:ind w:left="720"/>
        <w:rPr>
          <w:rStyle w:val="normaltextrun"/>
          <w:noProof/>
          <w:color w:val="000000"/>
        </w:rPr>
      </w:pPr>
      <w:r w:rsidRPr="00887F6C">
        <w:rPr>
          <w:rStyle w:val="normaltextrun"/>
          <w:noProof/>
          <w:color w:val="000000"/>
        </w:rPr>
        <w:t>(a) alineatul (1) se înlocuiește cu următorul text:</w:t>
      </w:r>
    </w:p>
    <w:p w14:paraId="66C3AED7" w14:textId="77777777" w:rsidR="00E41465" w:rsidRPr="00887F6C" w:rsidRDefault="00E41465" w:rsidP="005607B9">
      <w:pPr>
        <w:spacing w:after="240"/>
        <w:ind w:left="960"/>
        <w:rPr>
          <w:rStyle w:val="eop"/>
          <w:noProof/>
          <w:color w:val="000000"/>
        </w:rPr>
      </w:pPr>
      <w:r w:rsidRPr="00887F6C">
        <w:rPr>
          <w:rStyle w:val="normaltextrun"/>
          <w:noProof/>
          <w:color w:val="000000" w:themeColor="text1"/>
        </w:rPr>
        <w:t>„1. </w:t>
      </w:r>
      <w:r w:rsidRPr="00887F6C">
        <w:rPr>
          <w:rStyle w:val="normaltextrun"/>
          <w:noProof/>
        </w:rPr>
        <w:t>Statele participante alocă sau iau măsuri de alocare de către organismele lor naționale de finanțare a unor contribuții financiare sau în natură de cel puțin 325 000 000 EUR în perioada cuprinsă între 7 august 2017 și 31 decembrie 2031.” ;</w:t>
      </w:r>
      <w:r w:rsidRPr="00887F6C">
        <w:rPr>
          <w:rStyle w:val="eop"/>
          <w:noProof/>
        </w:rPr>
        <w:t xml:space="preserve"> </w:t>
      </w:r>
    </w:p>
    <w:p w14:paraId="7C174AB7" w14:textId="77777777" w:rsidR="00C1795E" w:rsidRPr="00887F6C" w:rsidRDefault="045C3DDA" w:rsidP="00E66511">
      <w:pPr>
        <w:ind w:left="720"/>
        <w:rPr>
          <w:rStyle w:val="eop"/>
          <w:noProof/>
          <w:color w:val="000000"/>
        </w:rPr>
      </w:pPr>
      <w:r w:rsidRPr="00887F6C">
        <w:rPr>
          <w:rStyle w:val="eop"/>
          <w:noProof/>
          <w:color w:val="000000" w:themeColor="text1"/>
        </w:rPr>
        <w:t xml:space="preserve">(b) alineatul (6) se înlocuiește cu următorul text: </w:t>
      </w:r>
    </w:p>
    <w:p w14:paraId="249A3BCE" w14:textId="77777777" w:rsidR="00942167" w:rsidRPr="00887F6C" w:rsidRDefault="00702426" w:rsidP="00454D8A">
      <w:pPr>
        <w:ind w:left="960"/>
        <w:rPr>
          <w:noProof/>
          <w:color w:val="000000"/>
        </w:rPr>
      </w:pPr>
      <w:r w:rsidRPr="00887F6C">
        <w:rPr>
          <w:rStyle w:val="eop"/>
          <w:noProof/>
          <w:color w:val="000000" w:themeColor="text1"/>
        </w:rPr>
        <w:t>„6. </w:t>
      </w:r>
      <w:r w:rsidRPr="00887F6C">
        <w:rPr>
          <w:noProof/>
          <w:color w:val="333333"/>
        </w:rPr>
        <w:t>Contribuțiile menționate la alineatul (2) literele (a), (b) și (c) care sunt considerate contribuții din partea statelor participante se efectuează după adoptarea programului anual de lucru. În cazul în care programul anual de lucru este adoptat în cursul anului de referință menționat la articolul 6 alineatul (2), contribuțiile menționate la alineatul (2) litera (c), care sunt considerate contribuții din partea statelor participante incluse în programul anual de lucru, pot include contribuțiile efectuate începând cu data de 1 ianuarie a anului respectiv. Cu toate acestea, contribuțiile menționate la alineatul (2) litera (c), considerate contribuții din partea statelor participante incluse în primul program anual de lucru, pot include contribuții efectuate după 7 august 2017.”;</w:t>
      </w:r>
    </w:p>
    <w:p w14:paraId="4BF501E9" w14:textId="77777777" w:rsidR="00C1795E" w:rsidRPr="00887F6C" w:rsidRDefault="00C1795E" w:rsidP="00C1795E">
      <w:pPr>
        <w:rPr>
          <w:noProof/>
          <w:color w:val="000000"/>
        </w:rPr>
      </w:pPr>
    </w:p>
    <w:p w14:paraId="11572AB4" w14:textId="77777777" w:rsidR="00C1795E" w:rsidRPr="00887F6C" w:rsidRDefault="045C3DDA" w:rsidP="00ED5C64">
      <w:pPr>
        <w:spacing w:after="240"/>
        <w:ind w:left="709" w:hanging="709"/>
        <w:rPr>
          <w:noProof/>
          <w:color w:val="000000"/>
        </w:rPr>
      </w:pPr>
      <w:r w:rsidRPr="00887F6C">
        <w:rPr>
          <w:noProof/>
          <w:color w:val="000000" w:themeColor="text1"/>
        </w:rPr>
        <w:t>(6)</w:t>
      </w:r>
      <w:r w:rsidRPr="00887F6C">
        <w:rPr>
          <w:noProof/>
        </w:rPr>
        <w:tab/>
      </w:r>
      <w:r w:rsidRPr="00887F6C">
        <w:rPr>
          <w:noProof/>
          <w:color w:val="000000" w:themeColor="text1"/>
        </w:rPr>
        <w:t xml:space="preserve">Articolul 6 se înlocuiește cu următorul text: </w:t>
      </w:r>
    </w:p>
    <w:p w14:paraId="580DF3CF" w14:textId="77777777" w:rsidR="40F69885" w:rsidRPr="00887F6C" w:rsidRDefault="23B4D74F" w:rsidP="00F10A92">
      <w:pPr>
        <w:ind w:left="480"/>
        <w:jc w:val="center"/>
        <w:rPr>
          <w:bCs/>
          <w:i/>
          <w:iCs/>
          <w:noProof/>
          <w:color w:val="000000" w:themeColor="text1"/>
        </w:rPr>
      </w:pPr>
      <w:r w:rsidRPr="00887F6C">
        <w:rPr>
          <w:i/>
          <w:noProof/>
          <w:color w:val="000000" w:themeColor="text1"/>
        </w:rPr>
        <w:t>Articolul 6</w:t>
      </w:r>
    </w:p>
    <w:p w14:paraId="2A4F43C9" w14:textId="77777777" w:rsidR="23B4D74F" w:rsidRPr="00887F6C" w:rsidRDefault="40F69885" w:rsidP="00F10A92">
      <w:pPr>
        <w:ind w:left="480"/>
        <w:jc w:val="center"/>
        <w:rPr>
          <w:noProof/>
          <w:color w:val="000000" w:themeColor="text1"/>
        </w:rPr>
      </w:pPr>
      <w:r w:rsidRPr="00887F6C">
        <w:rPr>
          <w:b/>
          <w:i/>
          <w:noProof/>
          <w:color w:val="000000" w:themeColor="text1"/>
        </w:rPr>
        <w:t>Activități și punerea în aplicare a PRIMA</w:t>
      </w:r>
    </w:p>
    <w:p w14:paraId="3DE84BF6" w14:textId="77777777" w:rsidR="3EB5CE4E" w:rsidRPr="00887F6C" w:rsidRDefault="3EB5CE4E" w:rsidP="00B102BF">
      <w:pPr>
        <w:ind w:left="480"/>
        <w:rPr>
          <w:noProof/>
          <w:color w:val="000000" w:themeColor="text1"/>
        </w:rPr>
      </w:pPr>
      <w:r w:rsidRPr="00887F6C">
        <w:rPr>
          <w:noProof/>
        </w:rPr>
        <w:t xml:space="preserve">„1. PRIMA sprijină o gamă largă de activități de cercetare și inovare, astfel cum sunt descrise în programul ei anual de lucru, prin intermediul unor: </w:t>
      </w:r>
    </w:p>
    <w:p w14:paraId="13B70352" w14:textId="77777777" w:rsidR="00C1795E" w:rsidRPr="00887F6C" w:rsidRDefault="045C3DDA" w:rsidP="00A570E3">
      <w:pPr>
        <w:ind w:left="840" w:hanging="360"/>
        <w:rPr>
          <w:noProof/>
          <w:color w:val="000000"/>
        </w:rPr>
      </w:pPr>
      <w:r w:rsidRPr="00887F6C">
        <w:rPr>
          <w:noProof/>
          <w:color w:val="000000" w:themeColor="text1"/>
        </w:rPr>
        <w:t xml:space="preserve">(a) acțiuni indirecte în sensul Regulamentelor (UE) nr. 1290/2013 și (UE) nr. 2021/695, finanțate de PRIMA-IS în conformitate cu articolul 7 din prezenta decizie, în principal sub formă de granturi în urma unor cereri de propuneri transnaționale deschise, transparente și competitive organizate de PRIMA-IS, incluzând: </w:t>
      </w:r>
    </w:p>
    <w:p w14:paraId="6F072A4B" w14:textId="77777777" w:rsidR="00C1795E" w:rsidRPr="00887F6C" w:rsidRDefault="005607B9" w:rsidP="005607B9">
      <w:pPr>
        <w:ind w:left="1440" w:hanging="360"/>
        <w:rPr>
          <w:noProof/>
          <w:color w:val="000000"/>
        </w:rPr>
      </w:pPr>
      <w:r w:rsidRPr="00887F6C">
        <w:rPr>
          <w:noProof/>
          <w:color w:val="000000" w:themeColor="text1"/>
        </w:rPr>
        <w:t xml:space="preserve">(i) acțiuni de cercetare și inovare, precum și acțiuni de inovare; </w:t>
      </w:r>
    </w:p>
    <w:p w14:paraId="00EE605B" w14:textId="77777777" w:rsidR="00C1795E" w:rsidRPr="00887F6C" w:rsidRDefault="045C3DDA" w:rsidP="005607B9">
      <w:pPr>
        <w:ind w:left="1440" w:hanging="360"/>
        <w:rPr>
          <w:noProof/>
          <w:color w:val="000000"/>
        </w:rPr>
      </w:pPr>
      <w:r w:rsidRPr="00887F6C">
        <w:rPr>
          <w:noProof/>
          <w:color w:val="000000" w:themeColor="text1"/>
        </w:rPr>
        <w:t xml:space="preserve">(ii) acțiuni de coordonare și de sprijinire axate pe diseminare și comunicare, pentru a promova PRIMA și a maximiza impactul acesteia; </w:t>
      </w:r>
    </w:p>
    <w:p w14:paraId="53F3461E" w14:textId="77777777" w:rsidR="00C1795E" w:rsidRPr="00887F6C" w:rsidRDefault="5A3A9791" w:rsidP="00A570E3">
      <w:pPr>
        <w:spacing w:before="240"/>
        <w:ind w:left="840" w:hanging="360"/>
        <w:rPr>
          <w:noProof/>
          <w:color w:val="000000" w:themeColor="text1"/>
        </w:rPr>
      </w:pPr>
      <w:r w:rsidRPr="00887F6C">
        <w:rPr>
          <w:noProof/>
          <w:color w:val="000000" w:themeColor="text1"/>
        </w:rPr>
        <w:t xml:space="preserve">(b) activități finanțate de statele participante fără contribuția financiară a Uniunii menționată la articolul 3 alineatul (1) care contribuie la obiectivele PRIMA sau care sunt direct legate de asimilarea rezultatelor proiectelor din cadrul PRIMA și care constau în: </w:t>
      </w:r>
    </w:p>
    <w:p w14:paraId="36D5DC8B" w14:textId="77777777" w:rsidR="00C1795E" w:rsidRPr="00887F6C" w:rsidRDefault="045C3DDA" w:rsidP="005607B9">
      <w:pPr>
        <w:ind w:left="1440" w:hanging="360"/>
        <w:rPr>
          <w:noProof/>
          <w:color w:val="000000"/>
        </w:rPr>
      </w:pPr>
      <w:r w:rsidRPr="00887F6C">
        <w:rPr>
          <w:noProof/>
          <w:color w:val="000000" w:themeColor="text1"/>
        </w:rPr>
        <w:t xml:space="preserve">(i) activități selectate în urma unor cereri de propuneri transnaționale deschise, transparente și competitive organizate de PRIMA-IS, gestionate de organismele naționale de finanțare în cadrul programelor naționale ale statelor participante, care acordă sprijin financiar, în principal sub formă de granturi; </w:t>
      </w:r>
    </w:p>
    <w:p w14:paraId="457A982A" w14:textId="77777777" w:rsidR="00C1795E" w:rsidRPr="00887F6C" w:rsidRDefault="5A3A9791" w:rsidP="005607B9">
      <w:pPr>
        <w:spacing w:after="240"/>
        <w:ind w:left="1440" w:hanging="360"/>
        <w:rPr>
          <w:noProof/>
          <w:color w:val="000000"/>
        </w:rPr>
      </w:pPr>
      <w:r w:rsidRPr="00887F6C">
        <w:rPr>
          <w:noProof/>
          <w:color w:val="000000" w:themeColor="text1"/>
        </w:rPr>
        <w:t xml:space="preserve">(ii) activități în cadrul programelor naționale ale statelor participante, incluzând proiecte transnaționale. </w:t>
      </w:r>
    </w:p>
    <w:p w14:paraId="0B2C4AAB" w14:textId="77777777" w:rsidR="5778D1F5" w:rsidRPr="00887F6C" w:rsidRDefault="5778D1F5" w:rsidP="005607B9">
      <w:pPr>
        <w:spacing w:after="240"/>
        <w:ind w:left="480"/>
        <w:rPr>
          <w:noProof/>
        </w:rPr>
      </w:pPr>
      <w:r w:rsidRPr="00887F6C">
        <w:rPr>
          <w:noProof/>
        </w:rPr>
        <w:t xml:space="preserve">2. PRIMA se pune în aplicare pe baza programelor anuale de lucru care vizează activitățile care urmează să fie întreprinse în perioada 1 ianuarie – 31 decembrie a unui anumit </w:t>
      </w:r>
      <w:r w:rsidRPr="00887F6C">
        <w:rPr>
          <w:noProof/>
        </w:rPr>
        <w:tab/>
        <w:t xml:space="preserve">an („anul de referință”). PRIMA-IS adoptă programele anuale de lucru până la data de 31 </w:t>
      </w:r>
      <w:r w:rsidRPr="00887F6C">
        <w:rPr>
          <w:noProof/>
        </w:rPr>
        <w:lastRenderedPageBreak/>
        <w:t xml:space="preserve">martie a anului de referință, după obținerea aprobării din partea Comisiei. În ceea ce privește adoptarea programelor de lucru anuale, atât PRIMA-IS, cât și Comisia, acționează fără întârzieri nejustificate. PRIMA-IS pune la dispoziția publicului programul anual de lucru. </w:t>
      </w:r>
    </w:p>
    <w:p w14:paraId="3D393992" w14:textId="77777777" w:rsidR="5778D1F5" w:rsidRPr="00887F6C" w:rsidRDefault="00702426" w:rsidP="005607B9">
      <w:pPr>
        <w:spacing w:after="240"/>
        <w:ind w:left="480"/>
        <w:rPr>
          <w:noProof/>
        </w:rPr>
      </w:pPr>
      <w:r w:rsidRPr="00887F6C">
        <w:rPr>
          <w:noProof/>
        </w:rPr>
        <w:t xml:space="preserve">3. Activitățile menționate la alineatul (1) literele (a) și (b) pot fi lansate numai în anul de referință și numai după adoptarea programului anual de lucru pentru anul respectiv. </w:t>
      </w:r>
    </w:p>
    <w:p w14:paraId="57625966" w14:textId="77777777" w:rsidR="5778D1F5" w:rsidRPr="00887F6C" w:rsidRDefault="00702426" w:rsidP="005607B9">
      <w:pPr>
        <w:spacing w:after="240"/>
        <w:ind w:left="480"/>
        <w:rPr>
          <w:noProof/>
        </w:rPr>
      </w:pPr>
      <w:r w:rsidRPr="00887F6C">
        <w:rPr>
          <w:noProof/>
        </w:rPr>
        <w:t xml:space="preserve">4. În cazul în care programul anual de lucru este adoptat în cursul anului de referință, contribuția financiară a Uniunii menționată la articolul 3 alineatul (1) poate servi la rambursarea costurilor administrative aferente PRIMA-IS suportate începând cu data de 1 ianuarie a respectivului an de referință, în conformitate cu programul anual de lucru. Cu toate acestea, contribuția financiară a Uniunii menționată la articolul 3 alineatul (1) poate servi la rambursarea costurilor administrative aferente PRIMA-IS suportate începând cu 7 august 2017, în conformitate cu primul program anual de lucru. </w:t>
      </w:r>
    </w:p>
    <w:p w14:paraId="730C8335" w14:textId="77777777" w:rsidR="5778D1F5" w:rsidRPr="00887F6C" w:rsidRDefault="00702426" w:rsidP="005607B9">
      <w:pPr>
        <w:spacing w:after="240"/>
        <w:ind w:left="480"/>
        <w:rPr>
          <w:noProof/>
        </w:rPr>
      </w:pPr>
      <w:r w:rsidRPr="00887F6C">
        <w:rPr>
          <w:noProof/>
        </w:rPr>
        <w:t xml:space="preserve">5. Activitățile pot fi finanțate în cadrul PRIMA numai în cazul în care ele sunt prevăzute în programul anual de lucru. Programul anual de lucru face distincție între activitățile menționate la alineatul (1) litera (a), activitățile menționate la alineatul (1) litera (b) și costurile administrative ale PRIMA-IS. El prevede estimări ale cheltuielilor aferente respective, precum și alocarea bugetară pentru activitățile finanțate prin contribuția financiară a Uniunii menționată la articolul 3 alineatul (1) și pentru activitățile finanțate de către statele participante fără contribuția financiară a Uniunii menționată la articolul 3 alineatul (1). Programul anual de lucru menționează și valoarea estimată a contribuțiilor în natură ale statelor participante, menționate la articolul 5 alineatul (2) litera (b). </w:t>
      </w:r>
    </w:p>
    <w:p w14:paraId="42126A56" w14:textId="77777777" w:rsidR="5778D1F5" w:rsidRPr="00887F6C" w:rsidRDefault="00702426" w:rsidP="005607B9">
      <w:pPr>
        <w:spacing w:after="240"/>
        <w:ind w:left="480"/>
        <w:rPr>
          <w:noProof/>
        </w:rPr>
      </w:pPr>
      <w:r w:rsidRPr="00887F6C">
        <w:rPr>
          <w:noProof/>
        </w:rPr>
        <w:t>6. Programele anuale de lucru aferente unui an de referință modificate și programele anuale de lucru pentru anii următori de referință țin seama de rezultatele cererilor de propuneri anterioare. Ele urmăresc să soluționeze problema acoperirii insuficiente a anumitor teme științifice, în special a celor vizate inițial de activitățile prevăzute la alineatul (1) litera (b) care nu au putut fi finanțate în mod adecvat.</w:t>
      </w:r>
    </w:p>
    <w:p w14:paraId="5786363D" w14:textId="77777777" w:rsidR="00877A64" w:rsidRPr="00887F6C" w:rsidRDefault="00702426" w:rsidP="005607B9">
      <w:pPr>
        <w:spacing w:after="240"/>
        <w:ind w:left="480"/>
        <w:rPr>
          <w:rFonts w:eastAsia="Times New Roman"/>
          <w:noProof/>
        </w:rPr>
      </w:pPr>
      <w:r w:rsidRPr="00887F6C">
        <w:rPr>
          <w:noProof/>
          <w:color w:val="000000" w:themeColor="text1"/>
        </w:rPr>
        <w:t>7. </w:t>
      </w:r>
      <w:r w:rsidRPr="00887F6C">
        <w:rPr>
          <w:noProof/>
        </w:rPr>
        <w:t>Activitățile finale care urmează să fie finanțate, inclusiv cererile finale de propuneri emise în cadrul programelor anuale de lucru relevante, se lansează până la 31 decembrie 2027.</w:t>
      </w:r>
      <w:r w:rsidRPr="00887F6C">
        <w:rPr>
          <w:noProof/>
          <w:color w:val="000000" w:themeColor="text1"/>
        </w:rPr>
        <w:t xml:space="preserve"> </w:t>
      </w:r>
      <w:r w:rsidRPr="00887F6C">
        <w:rPr>
          <w:noProof/>
        </w:rPr>
        <w:t>În cazuri justificate corespunzător, ele pot fi lansate până la 31 decembrie 2028.</w:t>
      </w:r>
    </w:p>
    <w:p w14:paraId="52DBA98F" w14:textId="77777777" w:rsidR="019AF697" w:rsidRPr="00887F6C" w:rsidRDefault="00702426" w:rsidP="005607B9">
      <w:pPr>
        <w:spacing w:after="240"/>
        <w:ind w:left="480"/>
        <w:rPr>
          <w:noProof/>
        </w:rPr>
      </w:pPr>
      <w:r w:rsidRPr="00887F6C">
        <w:rPr>
          <w:noProof/>
        </w:rPr>
        <w:t xml:space="preserve">8. Activitățile care urmează să fie finanțate de către statele participante fără contribuția financiară a Uniunii menționată la articolul 3 alineatul (1) pot fi incluse în programul anual de lucru numai în urma unui rezultat pozitiv al evaluării lor externe independente internaționale </w:t>
      </w:r>
      <w:r w:rsidRPr="00887F6C">
        <w:rPr>
          <w:i/>
          <w:iCs/>
          <w:noProof/>
        </w:rPr>
        <w:t>inter pares</w:t>
      </w:r>
      <w:r w:rsidRPr="00887F6C">
        <w:rPr>
          <w:noProof/>
        </w:rPr>
        <w:t xml:space="preserve"> în raport cu obiectivele PRIMA, astfel cum sunt organizate de PRIMA-IS.</w:t>
      </w:r>
    </w:p>
    <w:p w14:paraId="5004C643" w14:textId="77777777" w:rsidR="00B916AE" w:rsidRPr="00887F6C" w:rsidRDefault="00702426" w:rsidP="005607B9">
      <w:pPr>
        <w:shd w:val="clear" w:color="auto" w:fill="FFFFFF" w:themeFill="background1"/>
        <w:spacing w:before="0" w:after="240"/>
        <w:ind w:left="480"/>
        <w:textAlignment w:val="baseline"/>
        <w:rPr>
          <w:rFonts w:eastAsia="Times New Roman"/>
          <w:noProof/>
        </w:rPr>
      </w:pPr>
      <w:r w:rsidRPr="00887F6C">
        <w:rPr>
          <w:noProof/>
          <w:color w:val="000000" w:themeColor="text1"/>
        </w:rPr>
        <w:t>9. </w:t>
      </w:r>
      <w:r w:rsidRPr="00887F6C">
        <w:rPr>
          <w:noProof/>
        </w:rPr>
        <w:t>Activitățile incluse în programul anual de lucru care sunt finanțate de statele participante în conformitate cu articolul 6 alineatul (1) litera (b) se pun în aplicare în conformitate cu principiile comune care urmează să fie adoptate de PRIMA-IS, după obținerea aprobării din partea Comisiei. Principiile comune țin seama de principiile stabilite în prezenta decizie, în titlul VIII din Regulamentul (UE, Euratom) 2018/1046 și în capitolul II din Regulamentul (UE) 2021/695. După obținerea aprobării din partea Comisiei, PRIMA-IS adoptă și cerințele în materie de raportare de către statelor participante la PRIMA-IS, inclusiv în ceea ce privește indicatorii atribuiți fiecăreia dintre respectivele activități.</w:t>
      </w:r>
    </w:p>
    <w:p w14:paraId="6236E715" w14:textId="77777777" w:rsidR="00B916AE" w:rsidRPr="00887F6C" w:rsidRDefault="00702426" w:rsidP="00F41C41">
      <w:pPr>
        <w:spacing w:before="0"/>
        <w:ind w:left="480"/>
        <w:textAlignment w:val="baseline"/>
        <w:rPr>
          <w:noProof/>
        </w:rPr>
      </w:pPr>
      <w:r w:rsidRPr="00887F6C">
        <w:rPr>
          <w:noProof/>
        </w:rPr>
        <w:lastRenderedPageBreak/>
        <w:t xml:space="preserve">10. Activitățile menționate la alineatul (1) litera (b) punctul (i) respectă, pe lângă principiile comune menționate la alineatul (9), și următoarele condiții: </w:t>
      </w:r>
    </w:p>
    <w:p w14:paraId="6F4BFC4C" w14:textId="77777777" w:rsidR="00B916AE" w:rsidRPr="00887F6C" w:rsidRDefault="04CFBB1E" w:rsidP="00A570E3">
      <w:pPr>
        <w:spacing w:before="0"/>
        <w:ind w:left="840" w:hanging="360"/>
        <w:textAlignment w:val="baseline"/>
        <w:rPr>
          <w:noProof/>
        </w:rPr>
      </w:pPr>
      <w:r w:rsidRPr="00887F6C">
        <w:rPr>
          <w:noProof/>
        </w:rPr>
        <w:t xml:space="preserve">(a) propunerile vizează proiecte transnaționale, cu participarea minimă a cel puțin trei entități juridice independente stabilite în trei țări diferite considerate state participante în conformitate cu prezenta decizie înainte de termenul de transmitere a propunerilor prevăzut în cererea de propuneri relevantă, dintre care: </w:t>
      </w:r>
    </w:p>
    <w:p w14:paraId="511AF07C" w14:textId="77777777" w:rsidR="00B916AE" w:rsidRPr="00887F6C" w:rsidRDefault="04CFBB1E" w:rsidP="005607B9">
      <w:pPr>
        <w:ind w:left="1440" w:hanging="360"/>
        <w:textAlignment w:val="baseline"/>
        <w:rPr>
          <w:noProof/>
          <w:color w:val="000000" w:themeColor="text1"/>
        </w:rPr>
      </w:pPr>
      <w:r w:rsidRPr="00887F6C">
        <w:rPr>
          <w:noProof/>
        </w:rPr>
        <w:t>(i) cel puțin una este stabilită într-un stat membru sau într-o țară terță asociată la Orizont 2020 sau, respectiv, la Orizont Europa, și nu intră sub incidența punctului (ii);</w:t>
      </w:r>
      <w:r w:rsidRPr="00887F6C">
        <w:rPr>
          <w:noProof/>
          <w:color w:val="000000" w:themeColor="text1"/>
        </w:rPr>
        <w:t xml:space="preserve"> și</w:t>
      </w:r>
    </w:p>
    <w:p w14:paraId="1188AF13" w14:textId="77777777" w:rsidR="4630A0C6" w:rsidRPr="00887F6C" w:rsidRDefault="521C78A8" w:rsidP="005607B9">
      <w:pPr>
        <w:spacing w:before="0"/>
        <w:ind w:left="1440" w:hanging="360"/>
        <w:rPr>
          <w:noProof/>
          <w:color w:val="000000" w:themeColor="text1"/>
        </w:rPr>
      </w:pPr>
      <w:r w:rsidRPr="00887F6C">
        <w:rPr>
          <w:noProof/>
          <w:color w:val="000000" w:themeColor="text1"/>
        </w:rPr>
        <w:t>(ii) cel puțin una este stabilită într-o țară terță menționată la articolul 1 alineatul (2) sau într-o țară terță care se învecinează cu Marea Mediterană;</w:t>
      </w:r>
    </w:p>
    <w:p w14:paraId="43B12034" w14:textId="77777777" w:rsidR="50CC7641" w:rsidRPr="00887F6C" w:rsidRDefault="4CFCED59" w:rsidP="00A570E3">
      <w:pPr>
        <w:spacing w:before="0"/>
        <w:ind w:left="840" w:hanging="360"/>
        <w:rPr>
          <w:noProof/>
        </w:rPr>
      </w:pPr>
      <w:r w:rsidRPr="00887F6C">
        <w:rPr>
          <w:noProof/>
        </w:rPr>
        <w:t xml:space="preserve">(b) propunerile se selectează în urma unor cereri de propuneri transnaționale și se evaluează de cel puțin trei experți independenți, pe baza următoarelor criterii de atribuire: excelență, impact, calitate și eficiență a punerii în aplicare; </w:t>
      </w:r>
    </w:p>
    <w:p w14:paraId="7D2D3C7C" w14:textId="77777777" w:rsidR="50CC7641" w:rsidRPr="00887F6C" w:rsidRDefault="4CFCED59" w:rsidP="00276983">
      <w:pPr>
        <w:spacing w:before="0" w:after="240"/>
        <w:ind w:left="840" w:hanging="360"/>
        <w:rPr>
          <w:rFonts w:eastAsia="Times New Roman"/>
          <w:noProof/>
        </w:rPr>
      </w:pPr>
      <w:r w:rsidRPr="00887F6C">
        <w:rPr>
          <w:noProof/>
        </w:rPr>
        <w:t xml:space="preserve">(c) propunerile se ierarhizează în funcție de rezultatele evaluării. Selecția se realizează de PRIMA-IS și trebuie să respecte respectiva ierarhizare. Statele participante convin asupra unui mod de finanțare adecvat, care permite maximizarea numărului de propuneri ce depășesc pragul și care urmează să fie finanțate pe baza ierarhizării respective, în special prin furnizarea unor sume de rezervă în contul contribuțiilor naționale pentru cererile de propuneri. În cazul în care unul sau mai multe proiecte nu pot fi finanțate, este posibilă selectarea proiectelor imediat următoare în ierarhie. </w:t>
      </w:r>
    </w:p>
    <w:p w14:paraId="4B7659D5" w14:textId="77777777" w:rsidR="00734D04" w:rsidRPr="00887F6C" w:rsidRDefault="00702426" w:rsidP="00276983">
      <w:pPr>
        <w:shd w:val="clear" w:color="auto" w:fill="FFFFFF" w:themeFill="background1"/>
        <w:spacing w:before="0" w:after="240"/>
        <w:ind w:left="480"/>
        <w:textAlignment w:val="baseline"/>
        <w:rPr>
          <w:rFonts w:eastAsia="Times New Roman"/>
          <w:noProof/>
        </w:rPr>
      </w:pPr>
      <w:r w:rsidRPr="00887F6C">
        <w:rPr>
          <w:noProof/>
          <w:color w:val="000000" w:themeColor="text1"/>
        </w:rPr>
        <w:t>11. </w:t>
      </w:r>
      <w:r w:rsidRPr="00887F6C">
        <w:rPr>
          <w:noProof/>
        </w:rPr>
        <w:t>PRIMA-IS monitorizează și raportează anual Comisiei cu privire la punerea în aplicare a tuturor activităților incluse în programul anual de lucru.</w:t>
      </w:r>
    </w:p>
    <w:p w14:paraId="166112BA" w14:textId="77777777" w:rsidR="00B916AE" w:rsidRPr="00887F6C" w:rsidRDefault="00702426" w:rsidP="00F41C41">
      <w:pPr>
        <w:shd w:val="clear" w:color="auto" w:fill="FFFFFF" w:themeFill="background1"/>
        <w:spacing w:before="0"/>
        <w:ind w:left="480"/>
        <w:textAlignment w:val="baseline"/>
        <w:rPr>
          <w:rFonts w:eastAsia="Times New Roman"/>
          <w:noProof/>
          <w:color w:val="000000" w:themeColor="text1"/>
        </w:rPr>
      </w:pPr>
      <w:r w:rsidRPr="00887F6C">
        <w:rPr>
          <w:noProof/>
          <w:color w:val="000000" w:themeColor="text1"/>
        </w:rPr>
        <w:t>12. </w:t>
      </w:r>
      <w:r w:rsidRPr="00887F6C">
        <w:rPr>
          <w:noProof/>
        </w:rPr>
        <w:t>Orice comunicare sau publicație referitoare la activitățile PRIMA și efectuată în colaborare cu PRIMA, indiferent dacă este efectuată de PRIMA-IS, de un stat participant sau de organismele sale naționale de finanțare sau de participanții la o activitate, se etichetează sau se coetichetează după cum urmează: „[denumirea activității] face parte din programul PRIMA cofinanțat de Uniunea Europeană.”</w:t>
      </w:r>
      <w:r w:rsidRPr="00887F6C">
        <w:rPr>
          <w:noProof/>
          <w:color w:val="000000" w:themeColor="text1"/>
        </w:rPr>
        <w:t> ;</w:t>
      </w:r>
    </w:p>
    <w:p w14:paraId="251834F3" w14:textId="77777777" w:rsidR="00F41C41" w:rsidRPr="00887F6C" w:rsidRDefault="00F41C41" w:rsidP="00F41C41">
      <w:pPr>
        <w:shd w:val="clear" w:color="auto" w:fill="FFFFFF" w:themeFill="background1"/>
        <w:ind w:left="480"/>
        <w:textAlignment w:val="baseline"/>
        <w:rPr>
          <w:rFonts w:eastAsia="Times New Roman"/>
          <w:noProof/>
          <w:color w:val="000000"/>
        </w:rPr>
      </w:pPr>
    </w:p>
    <w:p w14:paraId="2CB41DC7" w14:textId="77777777" w:rsidR="00C1795E" w:rsidRPr="00887F6C" w:rsidRDefault="00A17413" w:rsidP="00ED5C64">
      <w:pPr>
        <w:spacing w:after="240"/>
        <w:ind w:left="709" w:hanging="709"/>
        <w:rPr>
          <w:noProof/>
          <w:color w:val="000000"/>
        </w:rPr>
      </w:pPr>
      <w:r w:rsidRPr="00887F6C">
        <w:rPr>
          <w:noProof/>
          <w:color w:val="000000"/>
        </w:rPr>
        <w:t>(7)</w:t>
      </w:r>
      <w:r w:rsidRPr="00887F6C">
        <w:rPr>
          <w:noProof/>
        </w:rPr>
        <w:tab/>
      </w:r>
      <w:r w:rsidRPr="00887F6C">
        <w:rPr>
          <w:noProof/>
          <w:color w:val="000000"/>
        </w:rPr>
        <w:t>Articolul 7 se înlocuiește cu următorul text:</w:t>
      </w:r>
    </w:p>
    <w:p w14:paraId="14E72A6C" w14:textId="77777777" w:rsidR="003A047A" w:rsidRPr="00887F6C" w:rsidRDefault="00B40F7D" w:rsidP="00F41C41">
      <w:pPr>
        <w:shd w:val="clear" w:color="auto" w:fill="FFFFFF" w:themeFill="background1"/>
        <w:ind w:left="360"/>
        <w:jc w:val="center"/>
        <w:rPr>
          <w:rFonts w:eastAsia="Times New Roman"/>
          <w:noProof/>
        </w:rPr>
      </w:pPr>
      <w:r w:rsidRPr="00887F6C">
        <w:rPr>
          <w:i/>
          <w:noProof/>
        </w:rPr>
        <w:t>Articolul 7</w:t>
      </w:r>
    </w:p>
    <w:p w14:paraId="03531D85" w14:textId="77777777" w:rsidR="00B40F7D" w:rsidRPr="00887F6C" w:rsidRDefault="00B40F7D" w:rsidP="00F41C41">
      <w:pPr>
        <w:shd w:val="clear" w:color="auto" w:fill="FFFFFF"/>
        <w:ind w:left="360"/>
        <w:jc w:val="center"/>
        <w:rPr>
          <w:rFonts w:eastAsia="Times New Roman"/>
          <w:b/>
          <w:bCs/>
          <w:i/>
          <w:iCs/>
          <w:noProof/>
          <w:szCs w:val="24"/>
        </w:rPr>
      </w:pPr>
      <w:r w:rsidRPr="00887F6C">
        <w:rPr>
          <w:b/>
          <w:i/>
          <w:noProof/>
        </w:rPr>
        <w:t>Norme de participare și diseminare</w:t>
      </w:r>
    </w:p>
    <w:p w14:paraId="26A03835" w14:textId="77777777" w:rsidR="00A17413" w:rsidRPr="00887F6C" w:rsidRDefault="00312A0F" w:rsidP="00276983">
      <w:pPr>
        <w:spacing w:after="240"/>
        <w:ind w:left="480"/>
        <w:rPr>
          <w:rStyle w:val="normaltextrun"/>
          <w:noProof/>
          <w:color w:val="000000"/>
        </w:rPr>
      </w:pPr>
      <w:r w:rsidRPr="00887F6C">
        <w:rPr>
          <w:rStyle w:val="normaltextrun"/>
          <w:noProof/>
          <w:color w:val="000000"/>
        </w:rPr>
        <w:t xml:space="preserve">„1. </w:t>
      </w:r>
      <w:r w:rsidRPr="00887F6C">
        <w:rPr>
          <w:rStyle w:val="normaltextrun"/>
          <w:noProof/>
        </w:rPr>
        <w:t>PRIMA-IS se consideră a fi un organism de finanțare în sensul Regulamentului (UE) nr. 1290/2013 și al articolului 2 alineatul (14) din Regulamentul (UE) 2021/695 și furnizează sprijin financiar pentru acțiunile indirecte menționate la articolul 6 alineatul (1) litera (a) din prezenta decizie în conformitate cu normele prevăzute în regulamentele respective și sub rezerva derogărilor prevăzute la prezentul articol.</w:t>
      </w:r>
    </w:p>
    <w:p w14:paraId="6B990845" w14:textId="77777777" w:rsidR="00A17413" w:rsidRPr="00887F6C" w:rsidRDefault="00B40F7D" w:rsidP="00D07BBC">
      <w:pPr>
        <w:pStyle w:val="paragraph"/>
        <w:shd w:val="clear" w:color="auto" w:fill="FFFFFF"/>
        <w:spacing w:before="0" w:beforeAutospacing="0" w:after="120" w:afterAutospacing="0"/>
        <w:ind w:left="480"/>
        <w:jc w:val="both"/>
        <w:textAlignment w:val="baseline"/>
        <w:rPr>
          <w:noProof/>
        </w:rPr>
      </w:pPr>
      <w:r w:rsidRPr="00887F6C">
        <w:rPr>
          <w:rStyle w:val="normaltextrun"/>
          <w:noProof/>
          <w:color w:val="000000"/>
        </w:rPr>
        <w:t>2.</w:t>
      </w:r>
      <w:r w:rsidRPr="00887F6C">
        <w:rPr>
          <w:noProof/>
          <w:color w:val="000000"/>
        </w:rPr>
        <w:t xml:space="preserve"> </w:t>
      </w:r>
      <w:r w:rsidRPr="00887F6C">
        <w:rPr>
          <w:noProof/>
        </w:rPr>
        <w:t>În conformitate cu articolul 17 alineatul (2) din Regulamentul (UE) 2021/695 și prin derogare de la articolul 9 alineatul (1) litera (b) din Regulamentul (UE) nr. 1290/2013 și de la articolul 22 alineatul (2) din Regulamentul (UE) 2021/695, numărul minim de participanți este de trei entități juridice stabilite în trei țări diferite considerate state participante până la termenul de depunere prevăzut în cererea de propuneri relevantă, dintre care cel puțin una este stabilită: </w:t>
      </w:r>
    </w:p>
    <w:p w14:paraId="68DF26B1" w14:textId="77777777" w:rsidR="00A17413" w:rsidRPr="00887F6C" w:rsidRDefault="008177F7" w:rsidP="00063A5A">
      <w:pPr>
        <w:pStyle w:val="paragraph"/>
        <w:shd w:val="clear" w:color="auto" w:fill="FFFFFF" w:themeFill="background1"/>
        <w:spacing w:before="0" w:beforeAutospacing="0" w:after="120" w:afterAutospacing="0"/>
        <w:ind w:left="840" w:hanging="360"/>
        <w:jc w:val="both"/>
        <w:textAlignment w:val="baseline"/>
        <w:rPr>
          <w:noProof/>
        </w:rPr>
      </w:pPr>
      <w:r w:rsidRPr="00887F6C">
        <w:rPr>
          <w:noProof/>
        </w:rPr>
        <w:lastRenderedPageBreak/>
        <w:t>(a) într-un stat membru sau într-o țară terță asociată la Orizont 2020 sau, respectiv, la Orizont Europa, și nu intră sub incidența literei (b); și</w:t>
      </w:r>
    </w:p>
    <w:p w14:paraId="53DC363B" w14:textId="77777777" w:rsidR="00A17413" w:rsidRPr="00887F6C" w:rsidRDefault="008177F7" w:rsidP="00276983">
      <w:pPr>
        <w:pStyle w:val="paragraph"/>
        <w:shd w:val="clear" w:color="auto" w:fill="FFFFFF"/>
        <w:spacing w:before="0" w:beforeAutospacing="0" w:after="240" w:afterAutospacing="0"/>
        <w:ind w:left="840" w:hanging="360"/>
        <w:jc w:val="both"/>
        <w:textAlignment w:val="baseline"/>
        <w:rPr>
          <w:noProof/>
        </w:rPr>
      </w:pPr>
      <w:r w:rsidRPr="00887F6C">
        <w:rPr>
          <w:noProof/>
        </w:rPr>
        <w:t>(b) într-o țară terță menționată la articolul 1 alineatul (2) sau într-o țară terță care se învecinează cu Marea Mediterană.</w:t>
      </w:r>
    </w:p>
    <w:p w14:paraId="42195EC8" w14:textId="77777777" w:rsidR="004831E6" w:rsidRPr="00887F6C" w:rsidRDefault="0032785C" w:rsidP="00276983">
      <w:pPr>
        <w:shd w:val="clear" w:color="auto" w:fill="FFFFFF"/>
        <w:spacing w:before="0" w:after="240"/>
        <w:ind w:left="480"/>
        <w:textAlignment w:val="baseline"/>
        <w:rPr>
          <w:rFonts w:eastAsia="Times New Roman"/>
          <w:noProof/>
          <w:szCs w:val="24"/>
        </w:rPr>
      </w:pPr>
      <w:r w:rsidRPr="00887F6C">
        <w:rPr>
          <w:noProof/>
          <w:color w:val="000000"/>
        </w:rPr>
        <w:t>3. </w:t>
      </w:r>
      <w:r w:rsidRPr="00887F6C">
        <w:rPr>
          <w:noProof/>
        </w:rPr>
        <w:t>Prin derogare de la articolul 9 alineatul (3) din Regulamentul (UE) nr. 1290/2013 și de la articolul 22 alineatul (2) din Regulamentul (UE) 2021/695, în cazuri justificate în mod corespunzător prevăzute în programul anual de lucru, condiția minimă este participarea unei entități juridice stabilite într-un stat participant până la termenul de depunere prevăzut în cererea de propuneri relevantă. </w:t>
      </w:r>
    </w:p>
    <w:p w14:paraId="62560754" w14:textId="77777777" w:rsidR="00FE2D3E" w:rsidRPr="00887F6C" w:rsidRDefault="00B40F7D" w:rsidP="00D07BBC">
      <w:pPr>
        <w:shd w:val="clear" w:color="auto" w:fill="FFFFFF"/>
        <w:spacing w:before="0"/>
        <w:ind w:left="480"/>
        <w:textAlignment w:val="baseline"/>
        <w:rPr>
          <w:rFonts w:eastAsia="Times New Roman"/>
          <w:noProof/>
          <w:color w:val="000000"/>
          <w:szCs w:val="24"/>
        </w:rPr>
      </w:pPr>
      <w:r w:rsidRPr="00887F6C">
        <w:rPr>
          <w:noProof/>
        </w:rPr>
        <w:t>4. Prin derogare de la articolul 10 alineatul (1) și alineatul (2) din Regulamentul (UE) nr. 1290/2013 și de la articolul 23 alineatul (1) și alineatul (2) din Regulamentul (UE) 2021/695, următorii participanți sunt eligibili pentru finanțare de către PRIMA-IS:</w:t>
      </w:r>
      <w:r w:rsidRPr="00887F6C">
        <w:rPr>
          <w:noProof/>
          <w:color w:val="000000"/>
        </w:rPr>
        <w:t> </w:t>
      </w:r>
    </w:p>
    <w:p w14:paraId="19641834" w14:textId="77777777" w:rsidR="004831E6" w:rsidRPr="00887F6C" w:rsidRDefault="1E0FBE77" w:rsidP="007E67C1">
      <w:pPr>
        <w:shd w:val="clear" w:color="auto" w:fill="FFFFFF"/>
        <w:spacing w:before="0"/>
        <w:ind w:left="840" w:hanging="360"/>
        <w:textAlignment w:val="baseline"/>
        <w:rPr>
          <w:rFonts w:eastAsia="Times New Roman"/>
          <w:noProof/>
          <w:color w:val="000000"/>
        </w:rPr>
      </w:pPr>
      <w:r w:rsidRPr="00887F6C">
        <w:rPr>
          <w:noProof/>
          <w:color w:val="000000" w:themeColor="text1"/>
        </w:rPr>
        <w:t>(a) orice entitate juridică stabilită într-un stat participant sau înființată în temeiul dreptului Uniunii;</w:t>
      </w:r>
    </w:p>
    <w:p w14:paraId="300151F1" w14:textId="77777777" w:rsidR="004831E6" w:rsidRPr="00887F6C" w:rsidRDefault="00FE2D3E" w:rsidP="00276983">
      <w:pPr>
        <w:shd w:val="clear" w:color="auto" w:fill="FFFFFF"/>
        <w:spacing w:before="0" w:after="240"/>
        <w:ind w:left="840" w:hanging="360"/>
        <w:textAlignment w:val="baseline"/>
        <w:rPr>
          <w:rFonts w:eastAsia="Times New Roman"/>
          <w:b/>
          <w:noProof/>
          <w:color w:val="000000"/>
          <w:szCs w:val="24"/>
        </w:rPr>
      </w:pPr>
      <w:r w:rsidRPr="00887F6C">
        <w:rPr>
          <w:noProof/>
        </w:rPr>
        <w:t>(b) orice organizație internațională de interes european, astfel cum este definită la articolul 2 alineatul (1) punctul (12) din Regulamentul (UE) nr. 1290/2013 pentru activitățile PRIMA finanțate în temeiul articolul 3 alineatul (1) litera (a) sau orice organizație de cercetare europeană internațională, astfel cum este definită la articolul 2 alineatul (15) din Regulamentul (UE) 2021/695 pentru activitățile PRIMA finanțate în temeiul articolului 3 alineatul (1) litera (b).</w:t>
      </w:r>
      <w:r w:rsidRPr="00887F6C">
        <w:rPr>
          <w:b/>
          <w:noProof/>
          <w:color w:val="000000"/>
        </w:rPr>
        <w:t xml:space="preserve"> </w:t>
      </w:r>
    </w:p>
    <w:p w14:paraId="3DB1563B" w14:textId="77777777" w:rsidR="004831E6" w:rsidRPr="00887F6C" w:rsidRDefault="0032785C" w:rsidP="00D07BBC">
      <w:pPr>
        <w:shd w:val="clear" w:color="auto" w:fill="FFFFFF"/>
        <w:spacing w:before="0"/>
        <w:ind w:left="480"/>
        <w:textAlignment w:val="baseline"/>
        <w:rPr>
          <w:rFonts w:eastAsia="Times New Roman"/>
          <w:noProof/>
          <w:color w:val="000000"/>
          <w:szCs w:val="24"/>
        </w:rPr>
      </w:pPr>
      <w:r w:rsidRPr="00887F6C">
        <w:rPr>
          <w:noProof/>
          <w:color w:val="000000"/>
        </w:rPr>
        <w:t>5. În cazul participării unei organizații internaționale sau al participării unei entități juridice stabilite într-o țară care nu este stat participant, niciuna dintre ele nefiind eligibilă pentru finanțare în conformitate cu alineatul (4), se poate acorda finanțare de către PRIMA-IS numai dacă este îndeplinită cel puțin una dintre următoarele condiții: </w:t>
      </w:r>
    </w:p>
    <w:p w14:paraId="5745DA71" w14:textId="77777777" w:rsidR="004831E6" w:rsidRPr="00887F6C" w:rsidRDefault="00B40F7D" w:rsidP="00A570E3">
      <w:pPr>
        <w:pStyle w:val="Listparagraf"/>
        <w:shd w:val="clear" w:color="auto" w:fill="FFFFFF" w:themeFill="background1"/>
        <w:spacing w:before="0"/>
        <w:ind w:left="840" w:hanging="360"/>
        <w:contextualSpacing w:val="0"/>
        <w:textAlignment w:val="baseline"/>
        <w:rPr>
          <w:rFonts w:eastAsia="Times New Roman"/>
          <w:noProof/>
          <w:color w:val="000000"/>
        </w:rPr>
      </w:pPr>
      <w:r w:rsidRPr="00887F6C">
        <w:rPr>
          <w:noProof/>
          <w:color w:val="000000" w:themeColor="text1"/>
        </w:rPr>
        <w:t>(a) participarea organizației internaționale sau a entității juridice în cauză este considerată esențială de către PRIMA-IS pentru punerea în aplicare a acțiunii; </w:t>
      </w:r>
    </w:p>
    <w:p w14:paraId="2DDA060E" w14:textId="77777777" w:rsidR="004831E6" w:rsidRPr="00887F6C" w:rsidRDefault="00B40F7D" w:rsidP="00276983">
      <w:pPr>
        <w:pStyle w:val="Listparagraf"/>
        <w:shd w:val="clear" w:color="auto" w:fill="FFFFFF"/>
        <w:spacing w:before="0" w:after="240"/>
        <w:ind w:left="840" w:hanging="360"/>
        <w:contextualSpacing w:val="0"/>
        <w:textAlignment w:val="baseline"/>
        <w:rPr>
          <w:rFonts w:eastAsia="Times New Roman"/>
          <w:noProof/>
          <w:color w:val="000000"/>
          <w:szCs w:val="24"/>
        </w:rPr>
      </w:pPr>
      <w:r w:rsidRPr="00887F6C">
        <w:rPr>
          <w:noProof/>
        </w:rPr>
        <w:t>(b) participarea unor astfel de entități este prevăzută în programul anual de lucru, iar posibilitatea unei astfel de finanțări este prevăzută în cadrul unui acord științific și tehnologic bilateral sau al oricărui alt acord care asigură protecția intereselor financiare ale Uniunii, care este încheiat între Uniune și organizația internațională sau, în cazul entităților stabilite într-o țară care nu este stat participant, țara în care este stabilită entitatea juridică.</w:t>
      </w:r>
      <w:r w:rsidRPr="00887F6C">
        <w:rPr>
          <w:noProof/>
          <w:color w:val="000000"/>
        </w:rPr>
        <w:t xml:space="preserve"> </w:t>
      </w:r>
    </w:p>
    <w:p w14:paraId="20271B3C" w14:textId="77777777" w:rsidR="004831E6" w:rsidRPr="00887F6C" w:rsidRDefault="0032785C" w:rsidP="00276983">
      <w:pPr>
        <w:shd w:val="clear" w:color="auto" w:fill="FFFFFF"/>
        <w:spacing w:before="0" w:after="240"/>
        <w:ind w:left="480"/>
        <w:textAlignment w:val="baseline"/>
        <w:rPr>
          <w:rFonts w:eastAsia="Times New Roman"/>
          <w:noProof/>
          <w:color w:val="000000"/>
          <w:szCs w:val="24"/>
        </w:rPr>
      </w:pPr>
      <w:r w:rsidRPr="00887F6C">
        <w:rPr>
          <w:noProof/>
          <w:color w:val="000000"/>
        </w:rPr>
        <w:t>6. </w:t>
      </w:r>
      <w:r w:rsidRPr="00887F6C">
        <w:rPr>
          <w:noProof/>
        </w:rPr>
        <w:t>Fără a aduce atingere Regulamentului (UE, Euratom) 2018/1046, modelul de acord de grant aplicabil poate prevedea ca și entitățile juridice stabilite în țări care nu sunt state participante și care primesc finanțare din partea PRIMA-IS să ofere garanții financiare adecvate.</w:t>
      </w:r>
    </w:p>
    <w:p w14:paraId="174C7F9A" w14:textId="77777777" w:rsidR="009B470E" w:rsidRPr="00887F6C" w:rsidRDefault="00B40F7D" w:rsidP="00D07BBC">
      <w:pPr>
        <w:shd w:val="clear" w:color="auto" w:fill="FFFFFF" w:themeFill="background1"/>
        <w:spacing w:before="0"/>
        <w:ind w:left="480"/>
        <w:textAlignment w:val="baseline"/>
        <w:rPr>
          <w:rFonts w:eastAsia="Times New Roman"/>
          <w:noProof/>
        </w:rPr>
      </w:pPr>
      <w:r w:rsidRPr="00887F6C">
        <w:rPr>
          <w:noProof/>
        </w:rPr>
        <w:t>7.</w:t>
      </w:r>
      <w:r w:rsidR="00B52A7B" w:rsidRPr="00887F6C">
        <w:rPr>
          <w:noProof/>
        </w:rPr>
        <w:t xml:space="preserve"> </w:t>
      </w:r>
      <w:r w:rsidRPr="00887F6C">
        <w:rPr>
          <w:noProof/>
        </w:rPr>
        <w:t xml:space="preserve">Uniunea încheie cu țările terțe acorduri care să permită protejarea intereselor financiare ale Uniunii.” ; </w:t>
      </w:r>
    </w:p>
    <w:p w14:paraId="6CC7F043" w14:textId="77777777" w:rsidR="00E23C9A" w:rsidRPr="00887F6C" w:rsidRDefault="00E23C9A" w:rsidP="00682664">
      <w:pPr>
        <w:shd w:val="clear" w:color="auto" w:fill="FFFFFF" w:themeFill="background1"/>
        <w:spacing w:before="0" w:after="0"/>
        <w:ind w:left="480"/>
        <w:textAlignment w:val="baseline"/>
        <w:rPr>
          <w:noProof/>
          <w:color w:val="000000"/>
        </w:rPr>
      </w:pPr>
    </w:p>
    <w:p w14:paraId="4D5938D1" w14:textId="77777777" w:rsidR="00A17413" w:rsidRPr="00887F6C" w:rsidRDefault="003319E8" w:rsidP="00C1795E">
      <w:pPr>
        <w:rPr>
          <w:noProof/>
          <w:color w:val="000000"/>
        </w:rPr>
      </w:pPr>
      <w:r w:rsidRPr="00887F6C">
        <w:rPr>
          <w:noProof/>
          <w:color w:val="000000"/>
        </w:rPr>
        <w:t>(8)</w:t>
      </w:r>
      <w:r w:rsidRPr="00887F6C">
        <w:rPr>
          <w:noProof/>
        </w:rPr>
        <w:tab/>
      </w:r>
      <w:r w:rsidRPr="00887F6C">
        <w:rPr>
          <w:noProof/>
          <w:color w:val="000000"/>
        </w:rPr>
        <w:t>Articolul 8 se modifică după cum urmează:</w:t>
      </w:r>
    </w:p>
    <w:p w14:paraId="72E59B24" w14:textId="77777777" w:rsidR="008F548C" w:rsidRPr="00887F6C" w:rsidRDefault="002B58C3" w:rsidP="00E66511">
      <w:pPr>
        <w:shd w:val="clear" w:color="auto" w:fill="FFFFFF"/>
        <w:spacing w:before="240"/>
        <w:ind w:left="720"/>
        <w:rPr>
          <w:rFonts w:eastAsia="Times New Roman"/>
          <w:noProof/>
          <w:color w:val="000000"/>
          <w:szCs w:val="24"/>
        </w:rPr>
      </w:pPr>
      <w:r w:rsidRPr="00887F6C">
        <w:rPr>
          <w:noProof/>
          <w:color w:val="000000"/>
        </w:rPr>
        <w:t>(a) alineatul (1) se înlocuiește cu următorul text:</w:t>
      </w:r>
    </w:p>
    <w:p w14:paraId="6D7D9F86" w14:textId="77777777" w:rsidR="00C1795E" w:rsidRPr="00887F6C" w:rsidRDefault="42D140AD" w:rsidP="00454D8A">
      <w:pPr>
        <w:shd w:val="clear" w:color="auto" w:fill="FFFFFF" w:themeFill="background1"/>
        <w:spacing w:before="0" w:after="0"/>
        <w:ind w:left="960"/>
        <w:textAlignment w:val="baseline"/>
        <w:rPr>
          <w:rFonts w:eastAsia="Times New Roman"/>
          <w:noProof/>
        </w:rPr>
      </w:pPr>
      <w:r w:rsidRPr="00887F6C">
        <w:rPr>
          <w:noProof/>
        </w:rPr>
        <w:lastRenderedPageBreak/>
        <w:t xml:space="preserve">„1. Sub rezerva unei evaluări </w:t>
      </w:r>
      <w:r w:rsidRPr="00887F6C">
        <w:rPr>
          <w:i/>
          <w:iCs/>
          <w:noProof/>
        </w:rPr>
        <w:t>ex ante</w:t>
      </w:r>
      <w:r w:rsidRPr="00887F6C">
        <w:rPr>
          <w:noProof/>
        </w:rPr>
        <w:t xml:space="preserve"> pozitive a PRIMA-IS în conformitate cu articolul 154 alineatul (3) din Regulamentul (UE, Euratom) 2018/1046 și a furnizării de garanții financiare adecvate în conformitate cu articolul 62 alineatul (1) litera (c) punctul (vi) din regulamentul respectiv, Comisia încheie, în numele Uniunii, un Acord-cadru de parteneriat financiar și acorduri de contribuție cu PRIMA-IS.”</w:t>
      </w:r>
    </w:p>
    <w:p w14:paraId="075DC3CE" w14:textId="77777777" w:rsidR="00715129" w:rsidRPr="00887F6C" w:rsidRDefault="00715129">
      <w:pPr>
        <w:spacing w:before="0" w:after="200" w:line="276" w:lineRule="auto"/>
        <w:jc w:val="left"/>
        <w:rPr>
          <w:rFonts w:eastAsia="Times New Roman"/>
          <w:noProof/>
          <w:color w:val="000000"/>
          <w:szCs w:val="24"/>
        </w:rPr>
      </w:pPr>
      <w:r w:rsidRPr="00887F6C">
        <w:rPr>
          <w:noProof/>
        </w:rPr>
        <w:br w:type="page"/>
      </w:r>
    </w:p>
    <w:p w14:paraId="332D6D82" w14:textId="77777777" w:rsidR="003319E8" w:rsidRPr="00887F6C" w:rsidRDefault="002B58C3" w:rsidP="00E66511">
      <w:pPr>
        <w:shd w:val="clear" w:color="auto" w:fill="FFFFFF"/>
        <w:spacing w:before="240"/>
        <w:ind w:left="720"/>
        <w:rPr>
          <w:rFonts w:eastAsia="Times New Roman"/>
          <w:noProof/>
          <w:color w:val="000000"/>
          <w:szCs w:val="24"/>
        </w:rPr>
      </w:pPr>
      <w:r w:rsidRPr="00887F6C">
        <w:rPr>
          <w:noProof/>
          <w:color w:val="000000"/>
        </w:rPr>
        <w:lastRenderedPageBreak/>
        <w:t>(b) la alineatul (2), prima teză se înlocuiește cu următorul text:</w:t>
      </w:r>
    </w:p>
    <w:p w14:paraId="70CEEC7D" w14:textId="77777777" w:rsidR="003319E8" w:rsidRPr="00887F6C" w:rsidRDefault="003319E8" w:rsidP="00454D8A">
      <w:pPr>
        <w:shd w:val="clear" w:color="auto" w:fill="FFFFFF" w:themeFill="background1"/>
        <w:spacing w:before="0" w:after="0"/>
        <w:ind w:left="960"/>
        <w:textAlignment w:val="baseline"/>
        <w:rPr>
          <w:rFonts w:eastAsia="Times New Roman"/>
          <w:noProof/>
        </w:rPr>
      </w:pPr>
      <w:r w:rsidRPr="00887F6C">
        <w:rPr>
          <w:noProof/>
        </w:rPr>
        <w:t>„Acordul-cadru de parteneriat financiar menționat la alineatul (1) din prezentul articol se încheie în conformitate cu articolul 130 din Regulamentul (UE, Euratom) 2018/1046.”;</w:t>
      </w:r>
    </w:p>
    <w:p w14:paraId="4D537690" w14:textId="77777777" w:rsidR="003319E8" w:rsidRPr="00887F6C" w:rsidRDefault="003319E8" w:rsidP="003319E8">
      <w:pPr>
        <w:rPr>
          <w:noProof/>
        </w:rPr>
      </w:pPr>
    </w:p>
    <w:p w14:paraId="15F85598" w14:textId="77777777" w:rsidR="003319E8" w:rsidRPr="00887F6C" w:rsidRDefault="003319E8" w:rsidP="003319E8">
      <w:pPr>
        <w:rPr>
          <w:noProof/>
        </w:rPr>
      </w:pPr>
      <w:r w:rsidRPr="00887F6C">
        <w:rPr>
          <w:noProof/>
        </w:rPr>
        <w:t>(9)</w:t>
      </w:r>
      <w:r w:rsidRPr="00887F6C">
        <w:rPr>
          <w:noProof/>
        </w:rPr>
        <w:tab/>
        <w:t>La articolul 9, se adaugă următorul alineat (3):</w:t>
      </w:r>
    </w:p>
    <w:p w14:paraId="72F8758B" w14:textId="77777777" w:rsidR="003319E8" w:rsidRPr="00887F6C" w:rsidRDefault="2B688A27" w:rsidP="00454D8A">
      <w:pPr>
        <w:shd w:val="clear" w:color="auto" w:fill="FFFFFF" w:themeFill="background1"/>
        <w:spacing w:before="0" w:after="0"/>
        <w:ind w:left="960"/>
        <w:textAlignment w:val="baseline"/>
        <w:rPr>
          <w:rFonts w:eastAsia="Times New Roman"/>
          <w:noProof/>
        </w:rPr>
      </w:pPr>
      <w:r w:rsidRPr="00887F6C">
        <w:rPr>
          <w:noProof/>
        </w:rPr>
        <w:t>„3. Decizia Comisiei de a opri definitiv, de a reduce proporțional sau de a suspenda contribuția financiară a Uniunii nu împiedică rambursarea costurilor eligibile suportate deja de statele participante înainte de notificarea deciziei către PRIMA IS.”;</w:t>
      </w:r>
    </w:p>
    <w:p w14:paraId="40C240B8" w14:textId="77777777" w:rsidR="00877A64" w:rsidRPr="00887F6C" w:rsidRDefault="00877A64" w:rsidP="00877A64">
      <w:pPr>
        <w:ind w:left="840"/>
        <w:rPr>
          <w:noProof/>
        </w:rPr>
      </w:pPr>
    </w:p>
    <w:p w14:paraId="7739A9FB" w14:textId="77777777" w:rsidR="00441AB2" w:rsidRPr="00887F6C" w:rsidRDefault="00391C75" w:rsidP="00391C75">
      <w:pPr>
        <w:rPr>
          <w:noProof/>
        </w:rPr>
      </w:pPr>
      <w:r w:rsidRPr="00887F6C">
        <w:rPr>
          <w:noProof/>
        </w:rPr>
        <w:t>(10)</w:t>
      </w:r>
      <w:r w:rsidRPr="00887F6C">
        <w:rPr>
          <w:noProof/>
        </w:rPr>
        <w:tab/>
        <w:t>Articolul 10 se modifică după cum urmează:</w:t>
      </w:r>
    </w:p>
    <w:p w14:paraId="7A3B0BE6" w14:textId="77777777" w:rsidR="00441AB2" w:rsidRPr="00887F6C" w:rsidRDefault="00441AB2" w:rsidP="00192F1F">
      <w:pPr>
        <w:shd w:val="clear" w:color="auto" w:fill="FFFFFF"/>
        <w:spacing w:before="240"/>
        <w:ind w:left="720"/>
        <w:rPr>
          <w:rFonts w:eastAsia="Times New Roman"/>
          <w:noProof/>
          <w:color w:val="000000"/>
          <w:szCs w:val="24"/>
        </w:rPr>
      </w:pPr>
      <w:r w:rsidRPr="00887F6C">
        <w:rPr>
          <w:noProof/>
          <w:color w:val="000000"/>
        </w:rPr>
        <w:t>(a) alineatul (1) se înlocuiește cu următorul text:</w:t>
      </w:r>
    </w:p>
    <w:p w14:paraId="4644715D" w14:textId="77777777" w:rsidR="00441AB2" w:rsidRPr="00887F6C" w:rsidRDefault="00441AB2" w:rsidP="00192F1F">
      <w:pPr>
        <w:ind w:left="960"/>
        <w:rPr>
          <w:noProof/>
        </w:rPr>
      </w:pPr>
      <w:r w:rsidRPr="00887F6C">
        <w:rPr>
          <w:noProof/>
        </w:rPr>
        <w:t xml:space="preserve">„1. Auditurile </w:t>
      </w:r>
      <w:r w:rsidRPr="00887F6C">
        <w:rPr>
          <w:i/>
          <w:iCs/>
          <w:noProof/>
        </w:rPr>
        <w:t>ex post</w:t>
      </w:r>
      <w:r w:rsidRPr="00887F6C">
        <w:rPr>
          <w:noProof/>
        </w:rPr>
        <w:t xml:space="preserve"> ale cheltuielilor privind acțiunile indirecte în temeiul Regulamentului (UE) nr. 1291/2013 se efectuează de PRIMA-IS în conformitate cu articolul 29 din regulamentul respectiv.”;</w:t>
      </w:r>
    </w:p>
    <w:p w14:paraId="4ABDCB89" w14:textId="77777777" w:rsidR="003319E8" w:rsidRPr="00887F6C" w:rsidRDefault="00441AB2" w:rsidP="00192F1F">
      <w:pPr>
        <w:shd w:val="clear" w:color="auto" w:fill="FFFFFF"/>
        <w:spacing w:before="240"/>
        <w:ind w:left="720"/>
        <w:rPr>
          <w:rFonts w:eastAsia="Times New Roman"/>
          <w:noProof/>
          <w:color w:val="000000"/>
          <w:szCs w:val="24"/>
        </w:rPr>
      </w:pPr>
      <w:r w:rsidRPr="00887F6C">
        <w:rPr>
          <w:noProof/>
          <w:color w:val="000000"/>
        </w:rPr>
        <w:t>(b) se introduce următorul alineat (1a):</w:t>
      </w:r>
    </w:p>
    <w:p w14:paraId="6E361CEF" w14:textId="77777777" w:rsidR="003319E8" w:rsidRPr="00887F6C" w:rsidRDefault="00304E30" w:rsidP="00454D8A">
      <w:pPr>
        <w:shd w:val="clear" w:color="auto" w:fill="FFFFFF" w:themeFill="background1"/>
        <w:spacing w:before="0" w:after="0"/>
        <w:ind w:left="960"/>
        <w:textAlignment w:val="baseline"/>
        <w:rPr>
          <w:rFonts w:eastAsia="Times New Roman"/>
          <w:noProof/>
        </w:rPr>
      </w:pPr>
      <w:r w:rsidRPr="00887F6C">
        <w:rPr>
          <w:noProof/>
        </w:rPr>
        <w:t>„1 a. Auditurile cheltuielilor privind acțiunile indirecte în temeiul Regulamentului (UE) 2021/695 se efectuează de PRIMA IS în conformitate cu articolul 53 din Regulamentul (UE) 2021/695, ca parte a acțiunilor indirecte ale programului Orizont Europa, în special în conformitate cu strategia de audit menționată la articolul 53 alineatul (2) din regulamentul respectiv.”;</w:t>
      </w:r>
    </w:p>
    <w:p w14:paraId="2D00F8AF" w14:textId="77777777" w:rsidR="004426A2" w:rsidRPr="00887F6C" w:rsidRDefault="004426A2" w:rsidP="00391C75">
      <w:pPr>
        <w:rPr>
          <w:noProof/>
        </w:rPr>
      </w:pPr>
    </w:p>
    <w:p w14:paraId="19510ECB" w14:textId="77777777" w:rsidR="00AA589F" w:rsidRPr="00887F6C" w:rsidRDefault="00391C75" w:rsidP="00391C75">
      <w:pPr>
        <w:rPr>
          <w:noProof/>
        </w:rPr>
      </w:pPr>
      <w:r w:rsidRPr="00887F6C">
        <w:rPr>
          <w:noProof/>
        </w:rPr>
        <w:t>(11)</w:t>
      </w:r>
      <w:r w:rsidRPr="00887F6C">
        <w:rPr>
          <w:noProof/>
        </w:rPr>
        <w:tab/>
        <w:t>Articolul 11 se modifică după cum urmează:</w:t>
      </w:r>
    </w:p>
    <w:p w14:paraId="55B14495" w14:textId="77777777" w:rsidR="003319E8" w:rsidRPr="00887F6C" w:rsidRDefault="002B58C3" w:rsidP="00E66511">
      <w:pPr>
        <w:shd w:val="clear" w:color="auto" w:fill="FFFFFF"/>
        <w:spacing w:before="240"/>
        <w:ind w:left="720"/>
        <w:rPr>
          <w:rFonts w:eastAsia="Times New Roman"/>
          <w:noProof/>
          <w:color w:val="000000"/>
          <w:szCs w:val="24"/>
        </w:rPr>
      </w:pPr>
      <w:r w:rsidRPr="00887F6C">
        <w:rPr>
          <w:noProof/>
          <w:color w:val="000000"/>
        </w:rPr>
        <w:t>(a) se introduce următorul alineat (3a):</w:t>
      </w:r>
    </w:p>
    <w:p w14:paraId="0CA0E2DF" w14:textId="77777777" w:rsidR="008447F9" w:rsidRPr="00887F6C" w:rsidRDefault="00AA589F" w:rsidP="00454D8A">
      <w:pPr>
        <w:shd w:val="clear" w:color="auto" w:fill="FFFFFF" w:themeFill="background1"/>
        <w:spacing w:before="0" w:after="0"/>
        <w:ind w:left="960"/>
        <w:textAlignment w:val="baseline"/>
        <w:rPr>
          <w:rFonts w:eastAsia="Times New Roman"/>
          <w:noProof/>
        </w:rPr>
      </w:pPr>
      <w:r w:rsidRPr="00887F6C">
        <w:rPr>
          <w:noProof/>
        </w:rPr>
        <w:t>„3 a. Parchetul European (EPPO) este împuternicit, în conformitate cu Regulamentul (UE) 2017/1939 al Consiliului</w:t>
      </w:r>
      <w:r w:rsidRPr="00887F6C">
        <w:rPr>
          <w:rStyle w:val="Referinnotdesubsol"/>
          <w:rFonts w:eastAsia="Times New Roman"/>
          <w:noProof/>
        </w:rPr>
        <w:footnoteReference w:id="28"/>
      </w:r>
      <w:r w:rsidRPr="00887F6C">
        <w:rPr>
          <w:noProof/>
        </w:rPr>
        <w:t>, să investigheze și să urmărească penal infracțiunile care afectează interesele financiare ale Uniunii, astfel cum se prevede la articolul 4 din regulamentul respectiv.” ;</w:t>
      </w:r>
    </w:p>
    <w:p w14:paraId="132C3737" w14:textId="77777777" w:rsidR="00AA589F" w:rsidRPr="00887F6C" w:rsidRDefault="002B58C3" w:rsidP="00E66511">
      <w:pPr>
        <w:shd w:val="clear" w:color="auto" w:fill="FFFFFF"/>
        <w:spacing w:before="240"/>
        <w:ind w:left="720"/>
        <w:rPr>
          <w:rFonts w:eastAsia="Times New Roman"/>
          <w:noProof/>
          <w:color w:val="000000"/>
          <w:szCs w:val="24"/>
        </w:rPr>
      </w:pPr>
      <w:r w:rsidRPr="00887F6C">
        <w:rPr>
          <w:noProof/>
          <w:color w:val="000000"/>
        </w:rPr>
        <w:t>(b) alineatul (4) se înlocuiește cu următorul text:</w:t>
      </w:r>
    </w:p>
    <w:p w14:paraId="224F0748" w14:textId="77777777" w:rsidR="00AA589F" w:rsidRPr="00887F6C" w:rsidRDefault="00AA589F" w:rsidP="00276983">
      <w:pPr>
        <w:spacing w:after="240"/>
        <w:ind w:left="960"/>
        <w:rPr>
          <w:rStyle w:val="eop"/>
          <w:noProof/>
          <w:color w:val="000000"/>
        </w:rPr>
      </w:pPr>
      <w:r w:rsidRPr="00887F6C">
        <w:rPr>
          <w:noProof/>
        </w:rPr>
        <w:t>„4. </w:t>
      </w:r>
      <w:r w:rsidRPr="00887F6C">
        <w:rPr>
          <w:rStyle w:val="normaltextrun"/>
          <w:noProof/>
        </w:rPr>
        <w:t>Fără a aduce atingere alineatelor (1) – (3a), contractele, acordurile de grant și deciziile de grant care rezultă din punerea în aplicare a prezentei decizii conțin dispoziții care împuternicesc în mod expres Comisia, PRIMA-IS, Curtea de Conturi, EPPO și OLAF să efectueze astfel de audituri și investigații în conformitate cu competențele lor.</w:t>
      </w:r>
      <w:r w:rsidRPr="00887F6C">
        <w:rPr>
          <w:rStyle w:val="normaltextrun"/>
          <w:noProof/>
          <w:color w:val="000000" w:themeColor="text1"/>
        </w:rPr>
        <w:t xml:space="preserve"> </w:t>
      </w:r>
      <w:r w:rsidRPr="00887F6C">
        <w:rPr>
          <w:rStyle w:val="normaltextrun"/>
          <w:noProof/>
        </w:rPr>
        <w:t xml:space="preserve">În cazul în care punerea în aplicare a unei acțiuni este externalizată sau subdelegată, în totalitate sau parțial, sau în cazul în care se impune atribuirea unui contract de achiziții publice sau de sprijin financiar unui terț, contractul, acordul de grant sau decizia de grant includ obligația contractantului sau a beneficiarului de a </w:t>
      </w:r>
      <w:r w:rsidRPr="00887F6C">
        <w:rPr>
          <w:rStyle w:val="normaltextrun"/>
          <w:noProof/>
        </w:rPr>
        <w:lastRenderedPageBreak/>
        <w:t>impune oricărei părți terțe implicate acceptarea explicită a acestor competențe ale Comisiei, ale PRIMA-IS, ale Curții de Conturi, ale EPPO și ale OLAF.”;</w:t>
      </w:r>
      <w:r w:rsidRPr="00887F6C">
        <w:rPr>
          <w:rStyle w:val="eop"/>
          <w:noProof/>
          <w:color w:val="000000" w:themeColor="text1"/>
        </w:rPr>
        <w:t xml:space="preserve"> </w:t>
      </w:r>
    </w:p>
    <w:p w14:paraId="4CD727E0" w14:textId="77777777" w:rsidR="00AA589F" w:rsidRPr="00887F6C" w:rsidRDefault="002B58C3" w:rsidP="00E66511">
      <w:pPr>
        <w:shd w:val="clear" w:color="auto" w:fill="FFFFFF"/>
        <w:spacing w:before="240"/>
        <w:ind w:left="720"/>
        <w:rPr>
          <w:rFonts w:eastAsia="Times New Roman"/>
          <w:noProof/>
          <w:color w:val="000000"/>
          <w:szCs w:val="24"/>
        </w:rPr>
      </w:pPr>
      <w:r w:rsidRPr="00887F6C">
        <w:rPr>
          <w:noProof/>
          <w:color w:val="000000"/>
        </w:rPr>
        <w:t>(c) se introduce următorul alineat (4a):</w:t>
      </w:r>
    </w:p>
    <w:p w14:paraId="7521AA97" w14:textId="77777777" w:rsidR="00AA589F" w:rsidRPr="00887F6C" w:rsidRDefault="00AA589F" w:rsidP="00454D8A">
      <w:pPr>
        <w:ind w:left="960"/>
        <w:rPr>
          <w:noProof/>
          <w:u w:val="single"/>
        </w:rPr>
      </w:pPr>
      <w:r w:rsidRPr="00887F6C">
        <w:rPr>
          <w:noProof/>
        </w:rPr>
        <w:t>„4a. PRIMA-IS acordă Curții de Conturi naționale a fiecărui stat participant, la cererea lor, acces la toate informațiile legate de contribuțiile naționale ale statului participant respectiv, inclusiv la informațiile în format electronic, necesare pentru efectuarea auditurilor.”;</w:t>
      </w:r>
    </w:p>
    <w:p w14:paraId="279A6A7A" w14:textId="77777777" w:rsidR="00AA589F" w:rsidRPr="00887F6C" w:rsidRDefault="002B58C3" w:rsidP="00E66511">
      <w:pPr>
        <w:shd w:val="clear" w:color="auto" w:fill="FFFFFF"/>
        <w:spacing w:before="240"/>
        <w:ind w:left="720"/>
        <w:rPr>
          <w:rFonts w:eastAsia="Times New Roman"/>
          <w:noProof/>
          <w:color w:val="000000"/>
          <w:szCs w:val="24"/>
        </w:rPr>
      </w:pPr>
      <w:r w:rsidRPr="00887F6C">
        <w:rPr>
          <w:noProof/>
          <w:color w:val="000000"/>
        </w:rPr>
        <w:t>(d) alineatul (5) se înlocuiește cu următorul text:</w:t>
      </w:r>
    </w:p>
    <w:p w14:paraId="69F39B77" w14:textId="77777777" w:rsidR="00AA589F" w:rsidRPr="00887F6C" w:rsidRDefault="00AA589F" w:rsidP="00454D8A">
      <w:pPr>
        <w:ind w:left="960"/>
        <w:rPr>
          <w:noProof/>
        </w:rPr>
      </w:pPr>
      <w:r w:rsidRPr="00887F6C">
        <w:rPr>
          <w:noProof/>
        </w:rPr>
        <w:t xml:space="preserve">„5. În cadrul punerii în aplicare a PRIMA, statele participante iau măsurile legislative, de reglementare, administrative sau de altă natură necesare pentru a proteja interesele financiare ale Uniunii, în special pentru a asigura recuperarea în întregime a oricărei sume datorate Uniunii în conformitate cu Regulamentul (UE, Euratom) 2018/1046.”; </w:t>
      </w:r>
    </w:p>
    <w:p w14:paraId="41A01992" w14:textId="77777777" w:rsidR="00AA589F" w:rsidRPr="00887F6C" w:rsidRDefault="00AA589F" w:rsidP="00AA589F">
      <w:pPr>
        <w:rPr>
          <w:noProof/>
        </w:rPr>
      </w:pPr>
    </w:p>
    <w:p w14:paraId="3601BAC0" w14:textId="77777777" w:rsidR="00AA589F" w:rsidRPr="00887F6C" w:rsidRDefault="00391C75" w:rsidP="00ED5C64">
      <w:pPr>
        <w:spacing w:after="240"/>
        <w:ind w:left="709" w:hanging="709"/>
        <w:rPr>
          <w:noProof/>
        </w:rPr>
      </w:pPr>
      <w:r w:rsidRPr="00887F6C">
        <w:rPr>
          <w:noProof/>
        </w:rPr>
        <w:t>(12)</w:t>
      </w:r>
      <w:r w:rsidRPr="00887F6C">
        <w:rPr>
          <w:noProof/>
        </w:rPr>
        <w:tab/>
        <w:t>Se introduce următorul articol 11a:</w:t>
      </w:r>
    </w:p>
    <w:p w14:paraId="7B6620E0" w14:textId="77777777" w:rsidR="00AA589F" w:rsidRPr="00887F6C" w:rsidRDefault="00F246C9" w:rsidP="00F41C41">
      <w:pPr>
        <w:shd w:val="clear" w:color="auto" w:fill="FFFFFF"/>
        <w:ind w:left="720"/>
        <w:jc w:val="center"/>
        <w:textAlignment w:val="baseline"/>
        <w:rPr>
          <w:rFonts w:ascii="Segoe UI" w:eastAsia="Times New Roman" w:hAnsi="Segoe UI" w:cs="Segoe UI"/>
          <w:b/>
          <w:noProof/>
          <w:sz w:val="18"/>
          <w:szCs w:val="18"/>
        </w:rPr>
      </w:pPr>
      <w:r w:rsidRPr="00887F6C">
        <w:rPr>
          <w:i/>
          <w:noProof/>
          <w:color w:val="000000"/>
        </w:rPr>
        <w:t>„Articolul 11a</w:t>
      </w:r>
    </w:p>
    <w:p w14:paraId="18083C5F" w14:textId="77777777" w:rsidR="00AA589F" w:rsidRPr="00887F6C" w:rsidRDefault="00AA589F" w:rsidP="00F41C41">
      <w:pPr>
        <w:shd w:val="clear" w:color="auto" w:fill="FFFFFF"/>
        <w:ind w:left="720"/>
        <w:jc w:val="center"/>
        <w:textAlignment w:val="baseline"/>
        <w:rPr>
          <w:rFonts w:eastAsia="Times New Roman"/>
          <w:b/>
          <w:bCs/>
          <w:noProof/>
          <w:szCs w:val="24"/>
        </w:rPr>
      </w:pPr>
      <w:r w:rsidRPr="00887F6C">
        <w:rPr>
          <w:b/>
          <w:noProof/>
        </w:rPr>
        <w:t>Accesul la rezultate și la informații privind propunerile</w:t>
      </w:r>
    </w:p>
    <w:p w14:paraId="0F00B9E5" w14:textId="77777777" w:rsidR="00AA589F" w:rsidRPr="00887F6C" w:rsidRDefault="0032785C" w:rsidP="00B102BF">
      <w:pPr>
        <w:pStyle w:val="paragraph"/>
        <w:shd w:val="clear" w:color="auto" w:fill="FFFFFF"/>
        <w:spacing w:before="120" w:beforeAutospacing="0" w:after="120" w:afterAutospacing="0"/>
        <w:ind w:left="480"/>
        <w:jc w:val="both"/>
        <w:textAlignment w:val="baseline"/>
        <w:rPr>
          <w:rStyle w:val="eop"/>
          <w:rFonts w:eastAsiaTheme="majorEastAsia"/>
          <w:noProof/>
          <w:szCs w:val="22"/>
        </w:rPr>
      </w:pPr>
      <w:r w:rsidRPr="00887F6C">
        <w:rPr>
          <w:rStyle w:val="normaltextrun"/>
          <w:noProof/>
          <w:sz w:val="22"/>
        </w:rPr>
        <w:t>1. </w:t>
      </w:r>
      <w:r w:rsidRPr="00887F6C">
        <w:rPr>
          <w:rStyle w:val="normaltextrun"/>
          <w:noProof/>
        </w:rPr>
        <w:t>PRIMA-IS asigură Comisiei acces la toate informațiile legate de acțiunile indirecte pe care le finanțează. Aceste informații includ contribuțiile și rezultatele beneficiarilor care participă la acțiuni indirecte sau orice altă informație considerată necesară pentru elaborarea, punerea în aplicare, monitorizarea și evaluarea politicilor sau programelor Uniunii sau, dacă este cazul, ale statelor participante.</w:t>
      </w:r>
    </w:p>
    <w:p w14:paraId="29E82E34" w14:textId="77777777" w:rsidR="00AA589F" w:rsidRPr="00887F6C" w:rsidRDefault="0032785C" w:rsidP="00B102BF">
      <w:pPr>
        <w:pStyle w:val="paragraph"/>
        <w:shd w:val="clear" w:color="auto" w:fill="FFFFFF" w:themeFill="background1"/>
        <w:spacing w:before="120" w:beforeAutospacing="0" w:after="120" w:afterAutospacing="0"/>
        <w:ind w:left="480"/>
        <w:jc w:val="both"/>
        <w:textAlignment w:val="baseline"/>
        <w:rPr>
          <w:rStyle w:val="eop"/>
          <w:rFonts w:eastAsiaTheme="majorEastAsia"/>
          <w:noProof/>
        </w:rPr>
      </w:pPr>
      <w:r w:rsidRPr="00887F6C">
        <w:rPr>
          <w:rStyle w:val="normaltextrun"/>
          <w:noProof/>
        </w:rPr>
        <w:t xml:space="preserve">2. În scopul elaborării, al punerii în aplicare, al monitorizării și al evaluării politicilor sau programelor Uniunii, PRIMA-IS furnizează Comisiei informațiile cuprinse în propunerile prezentate. Această dispoziție se aplică </w:t>
      </w:r>
      <w:r w:rsidRPr="00887F6C">
        <w:rPr>
          <w:rStyle w:val="normaltextrun"/>
          <w:i/>
          <w:noProof/>
        </w:rPr>
        <w:t>mutatis mutandis</w:t>
      </w:r>
      <w:r w:rsidRPr="00887F6C">
        <w:rPr>
          <w:rStyle w:val="normaltextrun"/>
          <w:noProof/>
        </w:rPr>
        <w:t xml:space="preserve"> statelor participante în ceea ce privește propunerile care includ solicitanți stabiliți pe teritoriile lor respective.”;</w:t>
      </w:r>
      <w:r w:rsidRPr="00887F6C">
        <w:rPr>
          <w:rStyle w:val="eop"/>
          <w:noProof/>
        </w:rPr>
        <w:t xml:space="preserve"> </w:t>
      </w:r>
    </w:p>
    <w:p w14:paraId="4B415A94" w14:textId="77777777" w:rsidR="004426A2" w:rsidRPr="00887F6C" w:rsidRDefault="004426A2" w:rsidP="00AA589F">
      <w:pPr>
        <w:pStyle w:val="paragraph"/>
        <w:shd w:val="clear" w:color="auto" w:fill="FFFFFF"/>
        <w:spacing w:before="0" w:beforeAutospacing="0" w:after="0" w:afterAutospacing="0"/>
        <w:textAlignment w:val="baseline"/>
        <w:rPr>
          <w:rStyle w:val="eop"/>
          <w:rFonts w:eastAsiaTheme="majorEastAsia"/>
          <w:noProof/>
        </w:rPr>
      </w:pPr>
    </w:p>
    <w:p w14:paraId="253CC9DE" w14:textId="77777777" w:rsidR="004426A2" w:rsidRPr="00887F6C" w:rsidRDefault="00391C75" w:rsidP="001C0C9C">
      <w:pPr>
        <w:rPr>
          <w:noProof/>
        </w:rPr>
      </w:pPr>
      <w:r w:rsidRPr="00887F6C">
        <w:rPr>
          <w:noProof/>
        </w:rPr>
        <w:t>(13)</w:t>
      </w:r>
      <w:r w:rsidRPr="00887F6C">
        <w:rPr>
          <w:noProof/>
        </w:rPr>
        <w:tab/>
        <w:t>La articolul 12, alineatele (2) – (5) se înlocuiesc cu următorul text:</w:t>
      </w:r>
    </w:p>
    <w:p w14:paraId="281904EB" w14:textId="77777777" w:rsidR="001A1F74" w:rsidRPr="00887F6C" w:rsidRDefault="001A1F74" w:rsidP="00276983">
      <w:pPr>
        <w:spacing w:after="240"/>
        <w:ind w:left="960"/>
        <w:rPr>
          <w:noProof/>
        </w:rPr>
      </w:pPr>
      <w:r w:rsidRPr="00887F6C">
        <w:rPr>
          <w:noProof/>
        </w:rPr>
        <w:t>„2. PRIMA-IS este guvernată de Consiliul director, în care sunt reprezentate toate statele participante. Consiliul director este organul decizional al PRIMA-IS.</w:t>
      </w:r>
    </w:p>
    <w:p w14:paraId="62DE78D8" w14:textId="77777777" w:rsidR="001A1F74" w:rsidRPr="00887F6C" w:rsidRDefault="001A1F74" w:rsidP="00454D8A">
      <w:pPr>
        <w:ind w:left="960"/>
        <w:rPr>
          <w:noProof/>
        </w:rPr>
      </w:pPr>
      <w:r w:rsidRPr="00887F6C">
        <w:rPr>
          <w:noProof/>
        </w:rPr>
        <w:t>După obținerea aprobării din partea Comisiei, Consiliul director adoptă:</w:t>
      </w:r>
    </w:p>
    <w:tbl>
      <w:tblPr>
        <w:tblW w:w="4863" w:type="pct"/>
        <w:tblInd w:w="240" w:type="dxa"/>
        <w:shd w:val="clear" w:color="auto" w:fill="FFFFFF"/>
        <w:tblCellMar>
          <w:left w:w="0" w:type="dxa"/>
          <w:right w:w="0" w:type="dxa"/>
        </w:tblCellMar>
        <w:tblLook w:val="04A0" w:firstRow="1" w:lastRow="0" w:firstColumn="1" w:lastColumn="0" w:noHBand="0" w:noVBand="1"/>
      </w:tblPr>
      <w:tblGrid>
        <w:gridCol w:w="1320"/>
        <w:gridCol w:w="7504"/>
      </w:tblGrid>
      <w:tr w:rsidR="005C72D1" w:rsidRPr="00887F6C" w14:paraId="4FEA5433" w14:textId="77777777" w:rsidTr="00276983">
        <w:tc>
          <w:tcPr>
            <w:tcW w:w="748" w:type="pct"/>
            <w:shd w:val="clear" w:color="auto" w:fill="FFFFFF"/>
            <w:hideMark/>
          </w:tcPr>
          <w:p w14:paraId="0BCEEFA2" w14:textId="77777777" w:rsidR="001A1F74" w:rsidRPr="00887F6C" w:rsidRDefault="001A1F74" w:rsidP="00965052">
            <w:pPr>
              <w:spacing w:before="0"/>
              <w:ind w:left="480"/>
              <w:jc w:val="center"/>
              <w:rPr>
                <w:noProof/>
              </w:rPr>
            </w:pPr>
            <w:r w:rsidRPr="00887F6C">
              <w:rPr>
                <w:noProof/>
              </w:rPr>
              <w:t>(a)</w:t>
            </w:r>
          </w:p>
        </w:tc>
        <w:tc>
          <w:tcPr>
            <w:tcW w:w="0" w:type="auto"/>
            <w:shd w:val="clear" w:color="auto" w:fill="FFFFFF"/>
            <w:hideMark/>
          </w:tcPr>
          <w:p w14:paraId="1CCBC251" w14:textId="77777777" w:rsidR="001A1F74" w:rsidRPr="00887F6C" w:rsidRDefault="001A1F74" w:rsidP="00965052">
            <w:pPr>
              <w:spacing w:before="0"/>
              <w:rPr>
                <w:noProof/>
              </w:rPr>
            </w:pPr>
            <w:r w:rsidRPr="00887F6C">
              <w:rPr>
                <w:noProof/>
              </w:rPr>
              <w:t>programul anual de lucru;</w:t>
            </w:r>
          </w:p>
        </w:tc>
      </w:tr>
      <w:tr w:rsidR="005C72D1" w:rsidRPr="00887F6C" w14:paraId="0878111D" w14:textId="77777777" w:rsidTr="00276983">
        <w:tc>
          <w:tcPr>
            <w:tcW w:w="748" w:type="pct"/>
            <w:shd w:val="clear" w:color="auto" w:fill="FFFFFF"/>
            <w:hideMark/>
          </w:tcPr>
          <w:p w14:paraId="6BACF9E6" w14:textId="77777777" w:rsidR="001A1F74" w:rsidRPr="00887F6C" w:rsidRDefault="001A1F74" w:rsidP="00965052">
            <w:pPr>
              <w:spacing w:before="0"/>
              <w:ind w:left="480"/>
              <w:jc w:val="center"/>
              <w:rPr>
                <w:noProof/>
              </w:rPr>
            </w:pPr>
            <w:r w:rsidRPr="00887F6C">
              <w:rPr>
                <w:noProof/>
              </w:rPr>
              <w:t>(b)</w:t>
            </w:r>
          </w:p>
        </w:tc>
        <w:tc>
          <w:tcPr>
            <w:tcW w:w="0" w:type="auto"/>
            <w:shd w:val="clear" w:color="auto" w:fill="FFFFFF"/>
            <w:hideMark/>
          </w:tcPr>
          <w:p w14:paraId="65FBD06F" w14:textId="77777777" w:rsidR="001A1F74" w:rsidRPr="00887F6C" w:rsidRDefault="001A1F74" w:rsidP="00965052">
            <w:pPr>
              <w:spacing w:before="0"/>
              <w:rPr>
                <w:noProof/>
              </w:rPr>
            </w:pPr>
            <w:r w:rsidRPr="00887F6C">
              <w:rPr>
                <w:noProof/>
              </w:rPr>
              <w:t>principiile comune menționate la articolul 6 alineatul (9);</w:t>
            </w:r>
          </w:p>
        </w:tc>
      </w:tr>
      <w:tr w:rsidR="005C72D1" w:rsidRPr="00887F6C" w14:paraId="2250F5CE" w14:textId="77777777" w:rsidTr="00276983">
        <w:tc>
          <w:tcPr>
            <w:tcW w:w="748" w:type="pct"/>
            <w:shd w:val="clear" w:color="auto" w:fill="FFFFFF"/>
            <w:hideMark/>
          </w:tcPr>
          <w:p w14:paraId="01353066" w14:textId="77777777" w:rsidR="001A1F74" w:rsidRPr="00887F6C" w:rsidRDefault="001A1F74" w:rsidP="00965052">
            <w:pPr>
              <w:spacing w:before="0"/>
              <w:ind w:left="480"/>
              <w:jc w:val="center"/>
              <w:rPr>
                <w:noProof/>
              </w:rPr>
            </w:pPr>
            <w:r w:rsidRPr="00887F6C">
              <w:rPr>
                <w:noProof/>
              </w:rPr>
              <w:t>(c)</w:t>
            </w:r>
          </w:p>
        </w:tc>
        <w:tc>
          <w:tcPr>
            <w:tcW w:w="0" w:type="auto"/>
            <w:shd w:val="clear" w:color="auto" w:fill="FFFFFF"/>
            <w:hideMark/>
          </w:tcPr>
          <w:p w14:paraId="708E68A2" w14:textId="77777777" w:rsidR="001A1F74" w:rsidRPr="00887F6C" w:rsidRDefault="001A1F74" w:rsidP="00965052">
            <w:pPr>
              <w:spacing w:before="0"/>
              <w:rPr>
                <w:noProof/>
              </w:rPr>
            </w:pPr>
            <w:r w:rsidRPr="00887F6C">
              <w:rPr>
                <w:noProof/>
              </w:rPr>
              <w:t>cerințele de raportare ale statelor participante la PRIMA-IS.</w:t>
            </w:r>
          </w:p>
        </w:tc>
      </w:tr>
    </w:tbl>
    <w:p w14:paraId="16F2B4E2" w14:textId="77777777" w:rsidR="001A1F74" w:rsidRPr="00887F6C" w:rsidRDefault="001A1F74" w:rsidP="00276983">
      <w:pPr>
        <w:spacing w:before="240" w:after="240"/>
        <w:ind w:left="960"/>
        <w:rPr>
          <w:noProof/>
        </w:rPr>
      </w:pPr>
      <w:r w:rsidRPr="00887F6C">
        <w:rPr>
          <w:noProof/>
        </w:rPr>
        <w:t>Consiliul director verifică dacă condițiile prevăzute la articolul 1 alineatul (3) și la articolul 4 alineatul (1) litera (c) sunt îndeplinite și informează Comisia în consecință.</w:t>
      </w:r>
    </w:p>
    <w:p w14:paraId="7811FBCB" w14:textId="77777777" w:rsidR="001A1F74" w:rsidRPr="00887F6C" w:rsidRDefault="2972EBB7" w:rsidP="00276983">
      <w:pPr>
        <w:spacing w:after="240"/>
        <w:ind w:left="960"/>
        <w:rPr>
          <w:noProof/>
        </w:rPr>
      </w:pPr>
      <w:r w:rsidRPr="00887F6C">
        <w:rPr>
          <w:noProof/>
        </w:rPr>
        <w:t>Consiliul director aprobă participarea la PRIMA a oricărei țări terțe care nu este asociată la programul Orizont 2020 sau Orizont Europa, în afara celor enumerate la articolul 1 alineatul (2), după examinarea relevanței participării sale pentru îndeplinirea obiectivelor PRIMA.</w:t>
      </w:r>
    </w:p>
    <w:p w14:paraId="64F595B4" w14:textId="77777777" w:rsidR="001A1F74" w:rsidRPr="00887F6C" w:rsidRDefault="001A1F74" w:rsidP="00276983">
      <w:pPr>
        <w:spacing w:after="240"/>
        <w:ind w:left="960"/>
        <w:rPr>
          <w:noProof/>
        </w:rPr>
      </w:pPr>
      <w:r w:rsidRPr="00887F6C">
        <w:rPr>
          <w:noProof/>
        </w:rPr>
        <w:lastRenderedPageBreak/>
        <w:t>Fiecare stat participant are dreptul la un vot în Consiliul director. Deciziile se iau prin consens. În cazul în care nu se ajunge la consens, Consiliul director ia decizii cu o majoritate de cel puțin 75 % din voturile valabil exprimate.</w:t>
      </w:r>
    </w:p>
    <w:p w14:paraId="3C7CF714" w14:textId="77777777" w:rsidR="001A1F74" w:rsidRPr="00887F6C" w:rsidRDefault="001A1F74" w:rsidP="00276983">
      <w:pPr>
        <w:spacing w:after="240"/>
        <w:ind w:left="960"/>
        <w:rPr>
          <w:noProof/>
        </w:rPr>
      </w:pPr>
      <w:r w:rsidRPr="00887F6C">
        <w:rPr>
          <w:noProof/>
        </w:rPr>
        <w:t>Uniunea, reprezentată de Comisie, este invitată la toate reuniunile Consiliului director în calitate de observator și poate lua parte la discuții. Ei i se vor transmite toate documentele necesare.</w:t>
      </w:r>
    </w:p>
    <w:p w14:paraId="211F8831" w14:textId="77777777" w:rsidR="001A1F74" w:rsidRPr="00887F6C" w:rsidRDefault="001A1F74" w:rsidP="00276983">
      <w:pPr>
        <w:spacing w:after="240"/>
        <w:ind w:left="960"/>
        <w:rPr>
          <w:noProof/>
        </w:rPr>
      </w:pPr>
      <w:r w:rsidRPr="00887F6C">
        <w:rPr>
          <w:noProof/>
        </w:rPr>
        <w:t>3. Consiliul director stabilește numărul membrilor Comitetului director, care nu poate fi mai mic de cinci, și îi desemnează. Comitetul director monitorizează activitatea directorului și consiliază Consiliul director cu privire la punerea în aplicare a PRIMA de către Secretariat. În special, el elaborează orientări cu privire la executarea bugetului anual și punerea în aplicare a programului anual de lucru.</w:t>
      </w:r>
    </w:p>
    <w:p w14:paraId="51B8960B" w14:textId="77777777" w:rsidR="001A1F74" w:rsidRPr="00887F6C" w:rsidRDefault="00A12E18" w:rsidP="00276983">
      <w:pPr>
        <w:spacing w:after="240"/>
        <w:ind w:left="960"/>
        <w:rPr>
          <w:noProof/>
        </w:rPr>
      </w:pPr>
      <w:r w:rsidRPr="00887F6C">
        <w:rPr>
          <w:noProof/>
        </w:rPr>
        <w:t>4. Consiliul director instituie Secretariatul PRIMA-IS drept organ executiv al PRIMA.</w:t>
      </w:r>
    </w:p>
    <w:p w14:paraId="31610075" w14:textId="77777777" w:rsidR="001A1F74" w:rsidRPr="00887F6C" w:rsidRDefault="001A1F74" w:rsidP="00276983">
      <w:pPr>
        <w:spacing w:after="240"/>
        <w:ind w:left="960"/>
        <w:rPr>
          <w:noProof/>
        </w:rPr>
      </w:pPr>
      <w:r w:rsidRPr="00887F6C">
        <w:rPr>
          <w:noProof/>
        </w:rPr>
        <w:t>Secretariatul:</w:t>
      </w:r>
    </w:p>
    <w:tbl>
      <w:tblPr>
        <w:tblW w:w="5026" w:type="pct"/>
        <w:shd w:val="clear" w:color="auto" w:fill="FFFFFF"/>
        <w:tblCellMar>
          <w:left w:w="0" w:type="dxa"/>
          <w:right w:w="0" w:type="dxa"/>
        </w:tblCellMar>
        <w:tblLook w:val="04A0" w:firstRow="1" w:lastRow="0" w:firstColumn="1" w:lastColumn="0" w:noHBand="0" w:noVBand="1"/>
      </w:tblPr>
      <w:tblGrid>
        <w:gridCol w:w="1559"/>
        <w:gridCol w:w="22"/>
        <w:gridCol w:w="7539"/>
      </w:tblGrid>
      <w:tr w:rsidR="00715129" w:rsidRPr="00887F6C" w14:paraId="14621654" w14:textId="77777777" w:rsidTr="00715129">
        <w:tc>
          <w:tcPr>
            <w:tcW w:w="855" w:type="pct"/>
            <w:shd w:val="clear" w:color="auto" w:fill="FFFFFF"/>
            <w:hideMark/>
          </w:tcPr>
          <w:p w14:paraId="715B67E3" w14:textId="77777777" w:rsidR="00715129" w:rsidRPr="00887F6C" w:rsidRDefault="00715129" w:rsidP="00965052">
            <w:pPr>
              <w:spacing w:before="0"/>
              <w:ind w:left="960"/>
              <w:rPr>
                <w:noProof/>
              </w:rPr>
            </w:pPr>
            <w:r w:rsidRPr="00887F6C">
              <w:rPr>
                <w:noProof/>
              </w:rPr>
              <w:t>(a)</w:t>
            </w:r>
          </w:p>
        </w:tc>
        <w:tc>
          <w:tcPr>
            <w:tcW w:w="12" w:type="pct"/>
            <w:shd w:val="clear" w:color="auto" w:fill="FFFFFF"/>
          </w:tcPr>
          <w:p w14:paraId="5AAD5212" w14:textId="77777777" w:rsidR="00715129" w:rsidRPr="00887F6C" w:rsidRDefault="00715129" w:rsidP="00965052">
            <w:pPr>
              <w:spacing w:before="0"/>
              <w:rPr>
                <w:noProof/>
              </w:rPr>
            </w:pPr>
          </w:p>
        </w:tc>
        <w:tc>
          <w:tcPr>
            <w:tcW w:w="4133" w:type="pct"/>
            <w:shd w:val="clear" w:color="auto" w:fill="FFFFFF"/>
            <w:hideMark/>
          </w:tcPr>
          <w:p w14:paraId="463257E0" w14:textId="77777777" w:rsidR="00715129" w:rsidRPr="00887F6C" w:rsidRDefault="00715129" w:rsidP="00965052">
            <w:pPr>
              <w:spacing w:before="0"/>
              <w:rPr>
                <w:noProof/>
              </w:rPr>
            </w:pPr>
            <w:r w:rsidRPr="00887F6C">
              <w:rPr>
                <w:noProof/>
              </w:rPr>
              <w:t>pune în aplicare programul anual de lucru;</w:t>
            </w:r>
          </w:p>
        </w:tc>
      </w:tr>
      <w:tr w:rsidR="00715129" w:rsidRPr="00887F6C" w14:paraId="505062EF" w14:textId="77777777" w:rsidTr="00715129">
        <w:tc>
          <w:tcPr>
            <w:tcW w:w="855" w:type="pct"/>
            <w:shd w:val="clear" w:color="auto" w:fill="FFFFFF"/>
            <w:hideMark/>
          </w:tcPr>
          <w:p w14:paraId="11FF41DA" w14:textId="77777777" w:rsidR="00715129" w:rsidRPr="00887F6C" w:rsidRDefault="00715129" w:rsidP="00965052">
            <w:pPr>
              <w:spacing w:before="0"/>
              <w:ind w:left="960"/>
              <w:rPr>
                <w:noProof/>
              </w:rPr>
            </w:pPr>
            <w:r w:rsidRPr="00887F6C">
              <w:rPr>
                <w:noProof/>
              </w:rPr>
              <w:t>(b)</w:t>
            </w:r>
          </w:p>
        </w:tc>
        <w:tc>
          <w:tcPr>
            <w:tcW w:w="12" w:type="pct"/>
            <w:shd w:val="clear" w:color="auto" w:fill="FFFFFF"/>
          </w:tcPr>
          <w:p w14:paraId="088DF78E" w14:textId="77777777" w:rsidR="00715129" w:rsidRPr="00887F6C" w:rsidRDefault="00715129" w:rsidP="00965052">
            <w:pPr>
              <w:spacing w:before="0"/>
              <w:rPr>
                <w:noProof/>
              </w:rPr>
            </w:pPr>
          </w:p>
        </w:tc>
        <w:tc>
          <w:tcPr>
            <w:tcW w:w="4133" w:type="pct"/>
            <w:shd w:val="clear" w:color="auto" w:fill="FFFFFF"/>
            <w:hideMark/>
          </w:tcPr>
          <w:p w14:paraId="495EAE45" w14:textId="77777777" w:rsidR="00715129" w:rsidRPr="00887F6C" w:rsidRDefault="00715129" w:rsidP="00965052">
            <w:pPr>
              <w:spacing w:before="0"/>
              <w:rPr>
                <w:noProof/>
              </w:rPr>
            </w:pPr>
            <w:r w:rsidRPr="00887F6C">
              <w:rPr>
                <w:noProof/>
              </w:rPr>
              <w:t>acordă sprijin celorlalte organisme ale PRIMA-IS;</w:t>
            </w:r>
          </w:p>
        </w:tc>
      </w:tr>
      <w:tr w:rsidR="00715129" w:rsidRPr="00887F6C" w14:paraId="3D13138C" w14:textId="77777777" w:rsidTr="00715129">
        <w:tc>
          <w:tcPr>
            <w:tcW w:w="855" w:type="pct"/>
            <w:shd w:val="clear" w:color="auto" w:fill="FFFFFF"/>
            <w:hideMark/>
          </w:tcPr>
          <w:p w14:paraId="36F04ACF" w14:textId="77777777" w:rsidR="00715129" w:rsidRPr="00887F6C" w:rsidRDefault="00715129" w:rsidP="00965052">
            <w:pPr>
              <w:spacing w:before="0"/>
              <w:ind w:left="960"/>
              <w:rPr>
                <w:noProof/>
              </w:rPr>
            </w:pPr>
            <w:r w:rsidRPr="00887F6C">
              <w:rPr>
                <w:noProof/>
              </w:rPr>
              <w:t>(c)</w:t>
            </w:r>
          </w:p>
        </w:tc>
        <w:tc>
          <w:tcPr>
            <w:tcW w:w="12" w:type="pct"/>
            <w:shd w:val="clear" w:color="auto" w:fill="FFFFFF"/>
          </w:tcPr>
          <w:p w14:paraId="3B72B4D3" w14:textId="77777777" w:rsidR="00715129" w:rsidRPr="00887F6C" w:rsidRDefault="00715129" w:rsidP="00965052">
            <w:pPr>
              <w:spacing w:before="0"/>
              <w:rPr>
                <w:noProof/>
              </w:rPr>
            </w:pPr>
          </w:p>
        </w:tc>
        <w:tc>
          <w:tcPr>
            <w:tcW w:w="4133" w:type="pct"/>
            <w:shd w:val="clear" w:color="auto" w:fill="FFFFFF"/>
            <w:hideMark/>
          </w:tcPr>
          <w:p w14:paraId="3A8FE363" w14:textId="77777777" w:rsidR="00715129" w:rsidRPr="00887F6C" w:rsidRDefault="00715129" w:rsidP="00965052">
            <w:pPr>
              <w:spacing w:before="0"/>
              <w:rPr>
                <w:noProof/>
              </w:rPr>
            </w:pPr>
            <w:r w:rsidRPr="00887F6C">
              <w:rPr>
                <w:noProof/>
              </w:rPr>
              <w:t>monitorizează și raportează cu privire la punerea în aplicare a PRIMA;</w:t>
            </w:r>
          </w:p>
        </w:tc>
      </w:tr>
      <w:tr w:rsidR="00715129" w:rsidRPr="00887F6C" w14:paraId="1ADBA90C" w14:textId="77777777" w:rsidTr="00715129">
        <w:tc>
          <w:tcPr>
            <w:tcW w:w="855" w:type="pct"/>
            <w:shd w:val="clear" w:color="auto" w:fill="FFFFFF"/>
            <w:hideMark/>
          </w:tcPr>
          <w:p w14:paraId="1FE1BFBF" w14:textId="77777777" w:rsidR="00715129" w:rsidRPr="00887F6C" w:rsidRDefault="00715129" w:rsidP="00965052">
            <w:pPr>
              <w:spacing w:before="0"/>
              <w:ind w:left="960"/>
              <w:rPr>
                <w:noProof/>
              </w:rPr>
            </w:pPr>
            <w:r w:rsidRPr="00887F6C">
              <w:rPr>
                <w:noProof/>
              </w:rPr>
              <w:t>(d)</w:t>
            </w:r>
          </w:p>
        </w:tc>
        <w:tc>
          <w:tcPr>
            <w:tcW w:w="12" w:type="pct"/>
            <w:shd w:val="clear" w:color="auto" w:fill="FFFFFF"/>
          </w:tcPr>
          <w:p w14:paraId="3285CCB7" w14:textId="77777777" w:rsidR="00715129" w:rsidRPr="00887F6C" w:rsidRDefault="00715129" w:rsidP="00965052">
            <w:pPr>
              <w:spacing w:before="0"/>
              <w:rPr>
                <w:noProof/>
              </w:rPr>
            </w:pPr>
          </w:p>
        </w:tc>
        <w:tc>
          <w:tcPr>
            <w:tcW w:w="4133" w:type="pct"/>
            <w:shd w:val="clear" w:color="auto" w:fill="FFFFFF"/>
            <w:hideMark/>
          </w:tcPr>
          <w:p w14:paraId="520B6983" w14:textId="77777777" w:rsidR="00715129" w:rsidRPr="00887F6C" w:rsidRDefault="00715129" w:rsidP="00965052">
            <w:pPr>
              <w:spacing w:before="0"/>
              <w:rPr>
                <w:noProof/>
              </w:rPr>
            </w:pPr>
            <w:r w:rsidRPr="00887F6C">
              <w:rPr>
                <w:noProof/>
              </w:rPr>
              <w:t>gestionează contribuția financiară a Uniunii menționată la articolul 3 alineatul (1) și contribuțiile financiare ale statelor participante și raportează cu privire la utilizarea lor;</w:t>
            </w:r>
          </w:p>
        </w:tc>
      </w:tr>
      <w:tr w:rsidR="00715129" w:rsidRPr="00887F6C" w14:paraId="7A2F4A02" w14:textId="77777777" w:rsidTr="00715129">
        <w:tc>
          <w:tcPr>
            <w:tcW w:w="855" w:type="pct"/>
            <w:shd w:val="clear" w:color="auto" w:fill="FFFFFF"/>
            <w:hideMark/>
          </w:tcPr>
          <w:p w14:paraId="77F0FEC2" w14:textId="77777777" w:rsidR="00715129" w:rsidRPr="00887F6C" w:rsidRDefault="00715129" w:rsidP="00965052">
            <w:pPr>
              <w:spacing w:before="0"/>
              <w:ind w:left="960"/>
              <w:rPr>
                <w:noProof/>
              </w:rPr>
            </w:pPr>
            <w:r w:rsidRPr="00887F6C">
              <w:rPr>
                <w:noProof/>
              </w:rPr>
              <w:t>(e)</w:t>
            </w:r>
          </w:p>
        </w:tc>
        <w:tc>
          <w:tcPr>
            <w:tcW w:w="12" w:type="pct"/>
            <w:shd w:val="clear" w:color="auto" w:fill="FFFFFF"/>
          </w:tcPr>
          <w:p w14:paraId="736A4AAA" w14:textId="77777777" w:rsidR="00715129" w:rsidRPr="00887F6C" w:rsidRDefault="00715129" w:rsidP="00965052">
            <w:pPr>
              <w:spacing w:before="0"/>
              <w:rPr>
                <w:noProof/>
              </w:rPr>
            </w:pPr>
          </w:p>
        </w:tc>
        <w:tc>
          <w:tcPr>
            <w:tcW w:w="4133" w:type="pct"/>
            <w:shd w:val="clear" w:color="auto" w:fill="FFFFFF"/>
            <w:hideMark/>
          </w:tcPr>
          <w:p w14:paraId="4FBF5511" w14:textId="77777777" w:rsidR="00715129" w:rsidRPr="00887F6C" w:rsidRDefault="00715129" w:rsidP="00965052">
            <w:pPr>
              <w:spacing w:before="0"/>
              <w:rPr>
                <w:noProof/>
              </w:rPr>
            </w:pPr>
            <w:r w:rsidRPr="00887F6C">
              <w:rPr>
                <w:noProof/>
              </w:rPr>
              <w:t>crește vizibilitatea PRIMA prin promovare și comunicare;</w:t>
            </w:r>
          </w:p>
        </w:tc>
      </w:tr>
      <w:tr w:rsidR="00715129" w:rsidRPr="00887F6C" w14:paraId="0EAE7696" w14:textId="77777777" w:rsidTr="00715129">
        <w:tc>
          <w:tcPr>
            <w:tcW w:w="855" w:type="pct"/>
            <w:shd w:val="clear" w:color="auto" w:fill="FFFFFF"/>
            <w:hideMark/>
          </w:tcPr>
          <w:p w14:paraId="033730F5" w14:textId="77777777" w:rsidR="00715129" w:rsidRPr="00887F6C" w:rsidRDefault="00715129" w:rsidP="00965052">
            <w:pPr>
              <w:spacing w:before="0"/>
              <w:ind w:left="960"/>
              <w:rPr>
                <w:noProof/>
              </w:rPr>
            </w:pPr>
            <w:r w:rsidRPr="00887F6C">
              <w:rPr>
                <w:noProof/>
              </w:rPr>
              <w:t>(f)</w:t>
            </w:r>
          </w:p>
        </w:tc>
        <w:tc>
          <w:tcPr>
            <w:tcW w:w="12" w:type="pct"/>
            <w:shd w:val="clear" w:color="auto" w:fill="FFFFFF"/>
          </w:tcPr>
          <w:p w14:paraId="775DCECA" w14:textId="77777777" w:rsidR="00715129" w:rsidRPr="00887F6C" w:rsidRDefault="00715129" w:rsidP="00965052">
            <w:pPr>
              <w:spacing w:before="0"/>
              <w:rPr>
                <w:noProof/>
              </w:rPr>
            </w:pPr>
          </w:p>
        </w:tc>
        <w:tc>
          <w:tcPr>
            <w:tcW w:w="4133" w:type="pct"/>
            <w:shd w:val="clear" w:color="auto" w:fill="FFFFFF"/>
            <w:hideMark/>
          </w:tcPr>
          <w:p w14:paraId="64D30688" w14:textId="77777777" w:rsidR="00715129" w:rsidRPr="00887F6C" w:rsidRDefault="00715129" w:rsidP="00965052">
            <w:pPr>
              <w:spacing w:before="0"/>
              <w:rPr>
                <w:noProof/>
              </w:rPr>
            </w:pPr>
            <w:r w:rsidRPr="00887F6C">
              <w:rPr>
                <w:noProof/>
              </w:rPr>
              <w:t>comunică cu Comisia în conformitate cu acordul-cadru de parteneriat financiar menționat la articolul 8;</w:t>
            </w:r>
          </w:p>
        </w:tc>
      </w:tr>
      <w:tr w:rsidR="00715129" w:rsidRPr="00887F6C" w14:paraId="144653D1" w14:textId="77777777" w:rsidTr="00715129">
        <w:tc>
          <w:tcPr>
            <w:tcW w:w="855" w:type="pct"/>
            <w:shd w:val="clear" w:color="auto" w:fill="FFFFFF"/>
            <w:hideMark/>
          </w:tcPr>
          <w:p w14:paraId="5608108A" w14:textId="77777777" w:rsidR="00715129" w:rsidRPr="00887F6C" w:rsidRDefault="00715129" w:rsidP="00965052">
            <w:pPr>
              <w:spacing w:before="0"/>
              <w:ind w:left="960"/>
              <w:rPr>
                <w:noProof/>
              </w:rPr>
            </w:pPr>
            <w:r w:rsidRPr="00887F6C">
              <w:rPr>
                <w:noProof/>
              </w:rPr>
              <w:t>(g)</w:t>
            </w:r>
          </w:p>
        </w:tc>
        <w:tc>
          <w:tcPr>
            <w:tcW w:w="12" w:type="pct"/>
            <w:shd w:val="clear" w:color="auto" w:fill="FFFFFF"/>
          </w:tcPr>
          <w:p w14:paraId="0E6F52E1" w14:textId="77777777" w:rsidR="00715129" w:rsidRPr="00887F6C" w:rsidRDefault="00715129" w:rsidP="00965052">
            <w:pPr>
              <w:spacing w:before="0"/>
              <w:rPr>
                <w:noProof/>
              </w:rPr>
            </w:pPr>
          </w:p>
        </w:tc>
        <w:tc>
          <w:tcPr>
            <w:tcW w:w="4133" w:type="pct"/>
            <w:shd w:val="clear" w:color="auto" w:fill="FFFFFF"/>
            <w:hideMark/>
          </w:tcPr>
          <w:p w14:paraId="5FCB45EC" w14:textId="77777777" w:rsidR="00715129" w:rsidRPr="00887F6C" w:rsidRDefault="00715129" w:rsidP="00965052">
            <w:pPr>
              <w:spacing w:before="0"/>
              <w:rPr>
                <w:noProof/>
              </w:rPr>
            </w:pPr>
            <w:r w:rsidRPr="00887F6C">
              <w:rPr>
                <w:noProof/>
              </w:rPr>
              <w:t>asigură transparența activităților PRIMA.</w:t>
            </w:r>
          </w:p>
        </w:tc>
      </w:tr>
    </w:tbl>
    <w:p w14:paraId="690A2DAC" w14:textId="77777777" w:rsidR="001A1F74" w:rsidRPr="00887F6C" w:rsidRDefault="00A12E18" w:rsidP="00965052">
      <w:pPr>
        <w:spacing w:before="240"/>
        <w:ind w:left="960"/>
        <w:rPr>
          <w:noProof/>
        </w:rPr>
      </w:pPr>
      <w:r w:rsidRPr="00887F6C">
        <w:rPr>
          <w:noProof/>
        </w:rPr>
        <w:t>5. Consiliul director numește un comitet științific consultativ format din experți independenți renumiți, competenți în domenii relevante pentru PRIMA. Consiliul director stabilește numărul membrilor Comitetului științific consultativ și modalitățile de numire a acestora în conformitate cu articolul 49 din Regulamentul (UE) 2021/695.”;</w:t>
      </w:r>
    </w:p>
    <w:p w14:paraId="46871AE4" w14:textId="77777777" w:rsidR="00E23C9A" w:rsidRPr="00887F6C" w:rsidRDefault="00E23C9A" w:rsidP="00CB32EC">
      <w:pPr>
        <w:rPr>
          <w:noProof/>
        </w:rPr>
      </w:pPr>
    </w:p>
    <w:p w14:paraId="481F7CE3" w14:textId="77777777" w:rsidR="00E5446F" w:rsidRPr="00887F6C" w:rsidRDefault="00B03E62" w:rsidP="00ED5C64">
      <w:pPr>
        <w:spacing w:after="240"/>
        <w:ind w:left="709" w:hanging="709"/>
        <w:rPr>
          <w:noProof/>
        </w:rPr>
      </w:pPr>
      <w:r w:rsidRPr="00887F6C">
        <w:rPr>
          <w:noProof/>
        </w:rPr>
        <w:t>(14)</w:t>
      </w:r>
      <w:r w:rsidRPr="00887F6C">
        <w:rPr>
          <w:noProof/>
        </w:rPr>
        <w:tab/>
        <w:t>Articolul 14 se înlocuiește cu următorul text:</w:t>
      </w:r>
    </w:p>
    <w:p w14:paraId="7B06E50E" w14:textId="77777777" w:rsidR="00F246C9" w:rsidRPr="00887F6C" w:rsidRDefault="00F246C9" w:rsidP="00D80B5C">
      <w:pPr>
        <w:shd w:val="clear" w:color="auto" w:fill="FFFFFF"/>
        <w:ind w:left="480"/>
        <w:jc w:val="center"/>
        <w:textAlignment w:val="baseline"/>
        <w:rPr>
          <w:rFonts w:eastAsia="Times New Roman"/>
          <w:b/>
          <w:i/>
          <w:iCs/>
          <w:noProof/>
          <w:szCs w:val="24"/>
        </w:rPr>
      </w:pPr>
      <w:r w:rsidRPr="00887F6C">
        <w:rPr>
          <w:i/>
          <w:noProof/>
        </w:rPr>
        <w:t>„Articolul 14</w:t>
      </w:r>
    </w:p>
    <w:p w14:paraId="528E4D0F" w14:textId="77777777" w:rsidR="00E5446F" w:rsidRPr="00887F6C" w:rsidRDefault="00E5446F" w:rsidP="00D80B5C">
      <w:pPr>
        <w:shd w:val="clear" w:color="auto" w:fill="FFFFFF"/>
        <w:ind w:left="480"/>
        <w:jc w:val="center"/>
        <w:textAlignment w:val="baseline"/>
        <w:rPr>
          <w:rFonts w:eastAsia="Times New Roman"/>
          <w:noProof/>
          <w:color w:val="000000"/>
          <w:szCs w:val="24"/>
        </w:rPr>
      </w:pPr>
      <w:r w:rsidRPr="00887F6C">
        <w:rPr>
          <w:b/>
          <w:noProof/>
        </w:rPr>
        <w:t>Monitorizare și evaluare</w:t>
      </w:r>
    </w:p>
    <w:p w14:paraId="382F25C5" w14:textId="77777777" w:rsidR="00E5446F" w:rsidRPr="00887F6C" w:rsidRDefault="0032785C" w:rsidP="00C73AAA">
      <w:pPr>
        <w:shd w:val="clear" w:color="auto" w:fill="FFFFFF"/>
        <w:spacing w:after="240"/>
        <w:ind w:left="480"/>
        <w:textAlignment w:val="baseline"/>
        <w:rPr>
          <w:rFonts w:eastAsia="Times New Roman"/>
          <w:noProof/>
          <w:szCs w:val="24"/>
        </w:rPr>
      </w:pPr>
      <w:r w:rsidRPr="00887F6C">
        <w:rPr>
          <w:noProof/>
          <w:color w:val="000000"/>
        </w:rPr>
        <w:t>1. </w:t>
      </w:r>
      <w:r w:rsidRPr="00887F6C">
        <w:rPr>
          <w:noProof/>
        </w:rPr>
        <w:t>Activitățile PRIMA se monitorizează în permanență și fac obiectul unor revizuiri periodice pentru a asigura cel mai mare impact, excelența științifică și cea mai eficace și eficientă utilizare a resurselor. Rezultatele monitorizării și ale revizuirilor periodice contribuie la monitorizarea parteneriatelor europene în cadrul evaluărilor programului Orizont Europa, în temeiul articolelor 50 și 52 din Regulamentul (UE) 2021/695.</w:t>
      </w:r>
    </w:p>
    <w:p w14:paraId="03C8D0EF" w14:textId="77777777" w:rsidR="00E5446F" w:rsidRPr="00887F6C" w:rsidRDefault="0032785C" w:rsidP="00C73AAA">
      <w:pPr>
        <w:shd w:val="clear" w:color="auto" w:fill="FFFFFF"/>
        <w:spacing w:after="240"/>
        <w:ind w:left="480"/>
        <w:textAlignment w:val="baseline"/>
        <w:rPr>
          <w:rFonts w:eastAsia="Times New Roman"/>
          <w:noProof/>
          <w:szCs w:val="24"/>
        </w:rPr>
      </w:pPr>
      <w:r w:rsidRPr="00887F6C">
        <w:rPr>
          <w:noProof/>
        </w:rPr>
        <w:lastRenderedPageBreak/>
        <w:t>2. PRIMA-IS organizează monitorizarea și raportarea continuă a gestionării și a punerii în aplicare a activităților sale, precum și revizuiri periodice ale realizărilor, rezultatelor și impactului acțiunilor indirecte finanțate puse în aplicare în conformitate cu articolul 50 din Regulamentul (UE) 2021/695 și cu anexa III la regulamentul respectiv.</w:t>
      </w:r>
    </w:p>
    <w:p w14:paraId="4A04168C" w14:textId="77777777" w:rsidR="00E5446F" w:rsidRPr="00887F6C" w:rsidRDefault="00E5446F" w:rsidP="00C73AAA">
      <w:pPr>
        <w:shd w:val="clear" w:color="auto" w:fill="FFFFFF"/>
        <w:spacing w:after="240"/>
        <w:ind w:left="480"/>
        <w:textAlignment w:val="baseline"/>
        <w:rPr>
          <w:rFonts w:eastAsia="Times New Roman"/>
          <w:noProof/>
          <w:szCs w:val="24"/>
        </w:rPr>
      </w:pPr>
      <w:r w:rsidRPr="00887F6C">
        <w:rPr>
          <w:noProof/>
        </w:rPr>
        <w:t xml:space="preserve">3.Comisia efectuează o evaluare intermediară și o evaluare finală a PRIMA în cadrul evaluărilor Programului Orizont Europa, în conformitate cu articolul 52 din Regulamentul (UE) 2021/695, cu ajutorul unor experți externi independenți selectați pe baza unui proces deschis și transparent. </w:t>
      </w:r>
    </w:p>
    <w:p w14:paraId="19E1DBC4" w14:textId="77777777" w:rsidR="00E5446F" w:rsidRPr="00887F6C" w:rsidRDefault="233BF121" w:rsidP="00C73AAA">
      <w:pPr>
        <w:shd w:val="clear" w:color="auto" w:fill="FFFFFF" w:themeFill="background1"/>
        <w:spacing w:after="240"/>
        <w:ind w:left="480"/>
        <w:textAlignment w:val="baseline"/>
        <w:rPr>
          <w:rFonts w:eastAsia="Times New Roman"/>
          <w:noProof/>
        </w:rPr>
      </w:pPr>
      <w:r w:rsidRPr="00887F6C">
        <w:rPr>
          <w:noProof/>
        </w:rPr>
        <w:t>4. Evaluările intermediare și finale menționate la alineatul (3) examinează modul în care PRIMA își îndeplinește misiunea și obiectivele, acoperă toate activitățile acestuia și evaluează valoarea adăugată europeană, eficacitatea, eficiența, inclusiv deschiderea și transparența sa, relevanța activităților desfășurate, inclusiv în industrie și de către IMM-uri și coerența și complementaritatea acestora cu politicile regionale, naționale și ale Uniunii relevante, inclusiv sinergiile cu alte părți ale Programului Orizont Europa, cum ar fi alte parteneriate, misiuni, clustere și programe tematice sau specifice. În cadrul evaluărilor se ține cont de opiniile părților interesate atât de la nivelul Uniunii, cât și de la nivel național. Ele includ, după caz, o evaluare a celui mai eficace mod de intervenție la nivel de politici pentru eventualele acțiuni viitoare, precum și relevanța și coerența oricărei posibile reînnoiri a PRIMA, având în vedere prioritățile generale la nivel de politici și contextul susținerii cercetării și inovării, inclusiv poziționarea în raport cu alte inițiative sprijinite prin Programul Orizont Europa. Atunci când efectuează aceste evaluări, Comisia ia pe deplin în considerare impactul administrativ asupra PRIMA și încearcă să reducă sarcina administrativă și să se asigure că procesul de evaluare rămâne simplu și pe deplin transparent.</w:t>
      </w:r>
    </w:p>
    <w:p w14:paraId="08B8BF0E" w14:textId="77777777" w:rsidR="00E5446F" w:rsidRPr="00887F6C" w:rsidRDefault="0032785C" w:rsidP="00B102BF">
      <w:pPr>
        <w:shd w:val="clear" w:color="auto" w:fill="FFFFFF"/>
        <w:ind w:left="480"/>
        <w:textAlignment w:val="baseline"/>
        <w:rPr>
          <w:rFonts w:eastAsia="Times New Roman"/>
          <w:noProof/>
          <w:szCs w:val="24"/>
        </w:rPr>
      </w:pPr>
      <w:r w:rsidRPr="00887F6C">
        <w:rPr>
          <w:noProof/>
        </w:rPr>
        <w:t>5. Comisia publică și diseminează rezultatele și concluziile evaluărilor menționate la alineatul (3).” ;</w:t>
      </w:r>
    </w:p>
    <w:p w14:paraId="32862F30" w14:textId="77777777" w:rsidR="00902512" w:rsidRPr="00887F6C" w:rsidRDefault="00902512" w:rsidP="00A12E18">
      <w:pPr>
        <w:shd w:val="clear" w:color="auto" w:fill="FFFFFF"/>
        <w:spacing w:before="0"/>
        <w:ind w:left="240"/>
        <w:textAlignment w:val="baseline"/>
        <w:rPr>
          <w:rFonts w:ascii="Segoe UI" w:eastAsia="Times New Roman" w:hAnsi="Segoe UI" w:cs="Segoe UI"/>
          <w:noProof/>
          <w:szCs w:val="24"/>
        </w:rPr>
      </w:pPr>
    </w:p>
    <w:p w14:paraId="60CD19A1" w14:textId="77777777" w:rsidR="00E5446F" w:rsidRPr="00887F6C" w:rsidRDefault="0092194B" w:rsidP="0092194B">
      <w:pPr>
        <w:spacing w:after="240"/>
        <w:ind w:left="709" w:hanging="709"/>
        <w:rPr>
          <w:noProof/>
        </w:rPr>
      </w:pPr>
      <w:r w:rsidRPr="00887F6C">
        <w:rPr>
          <w:noProof/>
        </w:rPr>
        <w:t xml:space="preserve">(15) </w:t>
      </w:r>
      <w:r w:rsidRPr="00887F6C">
        <w:rPr>
          <w:noProof/>
        </w:rPr>
        <w:tab/>
        <w:t>Se introduc următoarele articole 14a, 14b și 14c:</w:t>
      </w:r>
    </w:p>
    <w:p w14:paraId="375D237C" w14:textId="77777777" w:rsidR="00E5446F" w:rsidRPr="00887F6C" w:rsidRDefault="0021791F" w:rsidP="00D80B5C">
      <w:pPr>
        <w:pStyle w:val="paragraph"/>
        <w:shd w:val="clear" w:color="auto" w:fill="FFFFFF"/>
        <w:spacing w:before="120" w:beforeAutospacing="0" w:after="120" w:afterAutospacing="0"/>
        <w:ind w:left="480"/>
        <w:jc w:val="center"/>
        <w:textAlignment w:val="baseline"/>
        <w:rPr>
          <w:rFonts w:eastAsiaTheme="minorHAnsi"/>
          <w:i/>
          <w:noProof/>
          <w:szCs w:val="22"/>
        </w:rPr>
      </w:pPr>
      <w:r w:rsidRPr="00887F6C">
        <w:rPr>
          <w:i/>
          <w:noProof/>
        </w:rPr>
        <w:t>„Articolul 14a</w:t>
      </w:r>
    </w:p>
    <w:p w14:paraId="0B271867" w14:textId="77777777" w:rsidR="00E5446F" w:rsidRPr="00887F6C" w:rsidRDefault="00E5446F" w:rsidP="00D80B5C">
      <w:pPr>
        <w:pStyle w:val="paragraph"/>
        <w:shd w:val="clear" w:color="auto" w:fill="FFFFFF"/>
        <w:spacing w:before="120" w:beforeAutospacing="0" w:after="120" w:afterAutospacing="0"/>
        <w:ind w:left="480"/>
        <w:jc w:val="center"/>
        <w:textAlignment w:val="baseline"/>
        <w:rPr>
          <w:rStyle w:val="eop"/>
          <w:rFonts w:eastAsiaTheme="majorEastAsia"/>
          <w:noProof/>
        </w:rPr>
      </w:pPr>
      <w:r w:rsidRPr="00887F6C">
        <w:rPr>
          <w:rStyle w:val="normaltextrun"/>
          <w:b/>
          <w:noProof/>
        </w:rPr>
        <w:t>Confidențialitate</w:t>
      </w:r>
    </w:p>
    <w:p w14:paraId="75DFDE6A" w14:textId="77777777" w:rsidR="00E5446F" w:rsidRPr="00887F6C" w:rsidRDefault="233BF121" w:rsidP="00ED5C64">
      <w:pPr>
        <w:shd w:val="clear" w:color="auto" w:fill="FFFFFF" w:themeFill="background1"/>
        <w:spacing w:after="360"/>
        <w:ind w:left="480"/>
        <w:textAlignment w:val="baseline"/>
        <w:rPr>
          <w:noProof/>
        </w:rPr>
      </w:pPr>
      <w:r w:rsidRPr="00887F6C">
        <w:rPr>
          <w:noProof/>
        </w:rPr>
        <w:t xml:space="preserve">Fără a se aduce atingere articolului 11a, PRIMA-IS asigură protecția informațiilor confidențiale a căror divulgare în afara instituțiilor, organismelor, oficiilor sau agențiilor Uniunii are potențialul de a prejudicia interesele PRIMA-IS, ale membrilor săi sau ale participanților la activitățile PRIMA. Astfel de informații confidențiale includ informații personale, comerciale, sensibile neclasificate și clasificate. </w:t>
      </w:r>
    </w:p>
    <w:p w14:paraId="28646EC9" w14:textId="77777777" w:rsidR="00E5446F" w:rsidRPr="00887F6C" w:rsidRDefault="00E5446F" w:rsidP="00D80B5C">
      <w:pPr>
        <w:pStyle w:val="paragraph"/>
        <w:shd w:val="clear" w:color="auto" w:fill="FFFFFF"/>
        <w:spacing w:before="120" w:beforeAutospacing="0" w:after="120" w:afterAutospacing="0"/>
        <w:ind w:left="480"/>
        <w:jc w:val="center"/>
        <w:textAlignment w:val="baseline"/>
        <w:rPr>
          <w:rFonts w:eastAsiaTheme="minorHAnsi"/>
          <w:i/>
          <w:noProof/>
          <w:szCs w:val="22"/>
        </w:rPr>
      </w:pPr>
      <w:r w:rsidRPr="00887F6C">
        <w:rPr>
          <w:i/>
          <w:noProof/>
        </w:rPr>
        <w:t>Articolul 14b </w:t>
      </w:r>
    </w:p>
    <w:p w14:paraId="2FFAEC9D" w14:textId="77777777" w:rsidR="00E5446F" w:rsidRPr="00887F6C" w:rsidRDefault="00E5446F" w:rsidP="00D80B5C">
      <w:pPr>
        <w:pStyle w:val="paragraph"/>
        <w:shd w:val="clear" w:color="auto" w:fill="FFFFFF"/>
        <w:spacing w:before="120" w:beforeAutospacing="0" w:after="120" w:afterAutospacing="0"/>
        <w:ind w:left="480"/>
        <w:jc w:val="center"/>
        <w:textAlignment w:val="baseline"/>
        <w:rPr>
          <w:rStyle w:val="eop"/>
          <w:rFonts w:eastAsiaTheme="majorEastAsia"/>
          <w:noProof/>
        </w:rPr>
      </w:pPr>
      <w:r w:rsidRPr="00887F6C">
        <w:rPr>
          <w:rStyle w:val="normaltextrun"/>
          <w:b/>
          <w:noProof/>
        </w:rPr>
        <w:t>Conflicte de interese</w:t>
      </w:r>
      <w:r w:rsidRPr="00887F6C">
        <w:rPr>
          <w:rStyle w:val="eop"/>
          <w:noProof/>
        </w:rPr>
        <w:t xml:space="preserve"> </w:t>
      </w:r>
    </w:p>
    <w:p w14:paraId="48540379" w14:textId="77777777" w:rsidR="00E5446F" w:rsidRPr="00887F6C" w:rsidRDefault="0032785C" w:rsidP="00C73AAA">
      <w:pPr>
        <w:shd w:val="clear" w:color="auto" w:fill="FFFFFF"/>
        <w:spacing w:after="240"/>
        <w:ind w:left="480"/>
        <w:textAlignment w:val="baseline"/>
        <w:rPr>
          <w:rFonts w:eastAsia="Times New Roman"/>
          <w:noProof/>
        </w:rPr>
      </w:pPr>
      <w:r w:rsidRPr="00887F6C">
        <w:rPr>
          <w:noProof/>
        </w:rPr>
        <w:t>1. În îndeplinirea activităților lor, PRIMA-IS, organismele sale, membrii și personalul ei evită orice conflict de interese.</w:t>
      </w:r>
    </w:p>
    <w:p w14:paraId="5A161AE3" w14:textId="77777777" w:rsidR="00E5446F" w:rsidRPr="00887F6C" w:rsidRDefault="0032785C" w:rsidP="00C73AAA">
      <w:pPr>
        <w:shd w:val="clear" w:color="auto" w:fill="FFFFFF"/>
        <w:spacing w:after="240"/>
        <w:ind w:left="480"/>
        <w:textAlignment w:val="baseline"/>
        <w:rPr>
          <w:rFonts w:eastAsia="Times New Roman"/>
          <w:noProof/>
          <w:szCs w:val="24"/>
        </w:rPr>
      </w:pPr>
      <w:r w:rsidRPr="00887F6C">
        <w:rPr>
          <w:noProof/>
        </w:rPr>
        <w:t xml:space="preserve">2. PRIMA-IS adoptă norme pentru prevenirea, evitarea și gestionarea conflictelor de interese în ceea ce privește personalul ei, membrii și alte persoane care fac parte din oricare </w:t>
      </w:r>
      <w:r w:rsidRPr="00887F6C">
        <w:rPr>
          <w:noProof/>
        </w:rPr>
        <w:lastRenderedPageBreak/>
        <w:t>dintre organismele sau grupurile sale din cadrul PRIMA-IS, în conformitate cu articolul 61 din Regulamentul (UE, Euratom) 2018/1046.</w:t>
      </w:r>
    </w:p>
    <w:p w14:paraId="1D125FD1" w14:textId="77777777" w:rsidR="00E5446F" w:rsidRPr="00887F6C" w:rsidRDefault="0032785C" w:rsidP="00ED5C64">
      <w:pPr>
        <w:shd w:val="clear" w:color="auto" w:fill="FFFFFF"/>
        <w:spacing w:after="360"/>
        <w:ind w:left="480"/>
        <w:textAlignment w:val="baseline"/>
        <w:rPr>
          <w:noProof/>
          <w:szCs w:val="24"/>
        </w:rPr>
      </w:pPr>
      <w:r w:rsidRPr="00887F6C">
        <w:rPr>
          <w:noProof/>
        </w:rPr>
        <w:t xml:space="preserve">3. PRIMA-IS instituie un cod de conduită pentru membrii organismelor sale, care trebuie să includă publicarea declarațiilor privind activitățile profesionale, interesele financiare și conflictele de interese, în conformitate cu normele privind protecția datelor. </w:t>
      </w:r>
    </w:p>
    <w:p w14:paraId="64F2973C" w14:textId="77777777" w:rsidR="00E5446F" w:rsidRPr="00887F6C" w:rsidRDefault="00E5446F" w:rsidP="00D80B5C">
      <w:pPr>
        <w:pStyle w:val="paragraph"/>
        <w:shd w:val="clear" w:color="auto" w:fill="FFFFFF"/>
        <w:spacing w:before="120" w:beforeAutospacing="0" w:after="120" w:afterAutospacing="0"/>
        <w:ind w:left="480"/>
        <w:jc w:val="center"/>
        <w:textAlignment w:val="baseline"/>
        <w:rPr>
          <w:rFonts w:eastAsiaTheme="minorHAnsi"/>
          <w:i/>
          <w:noProof/>
          <w:szCs w:val="22"/>
        </w:rPr>
      </w:pPr>
      <w:r w:rsidRPr="00887F6C">
        <w:rPr>
          <w:i/>
          <w:noProof/>
        </w:rPr>
        <w:t>Articolul 14c</w:t>
      </w:r>
    </w:p>
    <w:p w14:paraId="49A0CF7C" w14:textId="77777777" w:rsidR="00A12E18" w:rsidRPr="00887F6C" w:rsidRDefault="00E5446F" w:rsidP="00D80B5C">
      <w:pPr>
        <w:pStyle w:val="paragraph"/>
        <w:shd w:val="clear" w:color="auto" w:fill="FFFFFF"/>
        <w:spacing w:before="120" w:beforeAutospacing="0" w:after="120" w:afterAutospacing="0"/>
        <w:ind w:left="480"/>
        <w:jc w:val="center"/>
        <w:textAlignment w:val="baseline"/>
        <w:rPr>
          <w:rFonts w:ascii="Segoe UI" w:hAnsi="Segoe UI" w:cs="Segoe UI"/>
          <w:noProof/>
          <w:sz w:val="18"/>
          <w:szCs w:val="18"/>
        </w:rPr>
      </w:pPr>
      <w:r w:rsidRPr="00887F6C">
        <w:rPr>
          <w:rStyle w:val="normaltextrun"/>
          <w:b/>
          <w:noProof/>
        </w:rPr>
        <w:t>Acțiuni, activități și angajamente în curs de derulare</w:t>
      </w:r>
    </w:p>
    <w:p w14:paraId="39449719" w14:textId="77777777" w:rsidR="00E5446F" w:rsidRPr="00887F6C" w:rsidRDefault="046BC370" w:rsidP="00B102BF">
      <w:pPr>
        <w:shd w:val="clear" w:color="auto" w:fill="FFFFFF" w:themeFill="background1"/>
        <w:ind w:left="480"/>
        <w:textAlignment w:val="baseline"/>
        <w:rPr>
          <w:rFonts w:eastAsia="Times New Roman"/>
          <w:noProof/>
        </w:rPr>
      </w:pPr>
      <w:r w:rsidRPr="00887F6C">
        <w:rPr>
          <w:noProof/>
        </w:rPr>
        <w:t xml:space="preserve">Acțiunile sau activitățile PRIMA-IS sau angajamentele asumate de statele participante menționate în prezenta decizie, inițiate sau asumate în temeiul Regulamentului (UE) nr. 1291/2013, continuă să fie reglementate de dispozițiile regulamentului respectiv, cu excepția cazului în care se prevede altfel în prezenta decizie.” </w:t>
      </w:r>
    </w:p>
    <w:p w14:paraId="176565C3" w14:textId="77777777" w:rsidR="00E66511" w:rsidRPr="00887F6C" w:rsidRDefault="00E66511" w:rsidP="1F82D7C4">
      <w:pPr>
        <w:shd w:val="clear" w:color="auto" w:fill="FFFFFF" w:themeFill="background1"/>
        <w:ind w:left="240"/>
        <w:textAlignment w:val="baseline"/>
        <w:rPr>
          <w:noProof/>
        </w:rPr>
      </w:pPr>
    </w:p>
    <w:p w14:paraId="27FDAEDA" w14:textId="77777777" w:rsidR="00C26153" w:rsidRPr="00887F6C" w:rsidRDefault="00C26153">
      <w:pPr>
        <w:pStyle w:val="Titrearticle"/>
        <w:rPr>
          <w:noProof/>
        </w:rPr>
      </w:pPr>
      <w:r w:rsidRPr="00887F6C">
        <w:rPr>
          <w:noProof/>
        </w:rPr>
        <w:t>Articolul 2</w:t>
      </w:r>
    </w:p>
    <w:p w14:paraId="4A299FD6" w14:textId="77777777" w:rsidR="1551B27F" w:rsidRPr="00887F6C" w:rsidRDefault="1551B27F" w:rsidP="001C0C9C">
      <w:pPr>
        <w:spacing w:before="0"/>
        <w:ind w:left="2880" w:firstLine="720"/>
        <w:rPr>
          <w:rStyle w:val="normaltextrun"/>
          <w:b/>
          <w:bCs/>
          <w:i/>
          <w:noProof/>
        </w:rPr>
      </w:pPr>
      <w:r w:rsidRPr="00887F6C">
        <w:rPr>
          <w:rStyle w:val="normaltextrun"/>
          <w:b/>
          <w:noProof/>
        </w:rPr>
        <w:t>Intrare în vigoare</w:t>
      </w:r>
    </w:p>
    <w:p w14:paraId="39E5A8E3" w14:textId="77777777" w:rsidR="1551B27F" w:rsidRPr="00887F6C" w:rsidRDefault="72406487" w:rsidP="1F82D7C4">
      <w:pPr>
        <w:rPr>
          <w:rFonts w:eastAsia="Times New Roman"/>
          <w:noProof/>
        </w:rPr>
      </w:pPr>
      <w:r w:rsidRPr="00887F6C">
        <w:rPr>
          <w:noProof/>
          <w:color w:val="333333"/>
        </w:rPr>
        <w:t xml:space="preserve">Prezenta decizie intră în vigoare în a douăzecea zi de la data publicării în </w:t>
      </w:r>
      <w:r w:rsidRPr="00887F6C">
        <w:rPr>
          <w:i/>
          <w:noProof/>
          <w:color w:val="333333"/>
        </w:rPr>
        <w:t>Jurnalul Oficial al Uniunii Europene</w:t>
      </w:r>
      <w:r w:rsidRPr="00887F6C">
        <w:rPr>
          <w:noProof/>
          <w:color w:val="333333"/>
        </w:rPr>
        <w:t>.</w:t>
      </w:r>
    </w:p>
    <w:p w14:paraId="3A8CE5A1" w14:textId="77777777" w:rsidR="1305E72A" w:rsidRPr="00887F6C" w:rsidRDefault="1305E72A" w:rsidP="1305E72A">
      <w:pPr>
        <w:rPr>
          <w:rFonts w:eastAsia="Times New Roman"/>
          <w:noProof/>
          <w:color w:val="333333"/>
          <w:szCs w:val="24"/>
        </w:rPr>
      </w:pPr>
    </w:p>
    <w:p w14:paraId="4A52312C" w14:textId="77777777" w:rsidR="1551B27F" w:rsidRPr="00887F6C" w:rsidRDefault="1551B27F" w:rsidP="1305E72A">
      <w:pPr>
        <w:pStyle w:val="Titrearticle"/>
        <w:rPr>
          <w:noProof/>
        </w:rPr>
      </w:pPr>
      <w:r w:rsidRPr="00887F6C">
        <w:rPr>
          <w:noProof/>
        </w:rPr>
        <w:t>Articolul 3</w:t>
      </w:r>
    </w:p>
    <w:p w14:paraId="4E353D19" w14:textId="77777777" w:rsidR="1551B27F" w:rsidRPr="00887F6C" w:rsidRDefault="1551B27F" w:rsidP="001C0C9C">
      <w:pPr>
        <w:spacing w:before="0" w:after="240"/>
        <w:jc w:val="center"/>
        <w:rPr>
          <w:rStyle w:val="normaltextrun"/>
          <w:rFonts w:eastAsia="Times New Roman"/>
          <w:b/>
          <w:bCs/>
          <w:noProof/>
          <w:szCs w:val="24"/>
        </w:rPr>
      </w:pPr>
      <w:r w:rsidRPr="00887F6C">
        <w:rPr>
          <w:rStyle w:val="normaltextrun"/>
          <w:b/>
          <w:noProof/>
        </w:rPr>
        <w:t>Destinatari</w:t>
      </w:r>
    </w:p>
    <w:p w14:paraId="6B75D94C" w14:textId="77777777" w:rsidR="00C26153" w:rsidRPr="00887F6C" w:rsidRDefault="00C26153" w:rsidP="001C0C9C">
      <w:pPr>
        <w:spacing w:after="600"/>
        <w:rPr>
          <w:noProof/>
        </w:rPr>
      </w:pPr>
      <w:r w:rsidRPr="00887F6C">
        <w:rPr>
          <w:noProof/>
        </w:rPr>
        <w:t>Prezenta decizie se adresează statelor membre.</w:t>
      </w:r>
    </w:p>
    <w:p w14:paraId="231E240F" w14:textId="7BC87B29" w:rsidR="1305E72A" w:rsidRPr="00887F6C" w:rsidRDefault="00412CF5" w:rsidP="00123991">
      <w:pPr>
        <w:pStyle w:val="Fait"/>
        <w:rPr>
          <w:noProof/>
        </w:rPr>
      </w:pPr>
      <w:r w:rsidRPr="00412CF5">
        <w:t>Adoptată la Bruxelles,</w:t>
      </w:r>
    </w:p>
    <w:p w14:paraId="565A1935" w14:textId="77777777" w:rsidR="00C26153" w:rsidRPr="00887F6C" w:rsidRDefault="00C73AAA" w:rsidP="00123991">
      <w:pPr>
        <w:pStyle w:val="Institutionquisigne"/>
        <w:tabs>
          <w:tab w:val="clear" w:pos="4252"/>
          <w:tab w:val="center" w:pos="1920"/>
          <w:tab w:val="center" w:pos="6120"/>
        </w:tabs>
        <w:rPr>
          <w:noProof/>
        </w:rPr>
      </w:pPr>
      <w:r w:rsidRPr="00887F6C">
        <w:rPr>
          <w:noProof/>
        </w:rPr>
        <w:tab/>
        <w:t>Pentru Parlamentul European</w:t>
      </w:r>
      <w:r w:rsidRPr="00887F6C">
        <w:rPr>
          <w:noProof/>
        </w:rPr>
        <w:tab/>
        <w:t>Pentru Consiliu</w:t>
      </w:r>
    </w:p>
    <w:p w14:paraId="5985E436" w14:textId="77777777" w:rsidR="00264CE9" w:rsidRPr="00887F6C" w:rsidRDefault="00C73AAA" w:rsidP="00C73AAA">
      <w:pPr>
        <w:pStyle w:val="Personnequisigne"/>
        <w:tabs>
          <w:tab w:val="clear" w:pos="4252"/>
          <w:tab w:val="center" w:pos="1920"/>
          <w:tab w:val="center" w:pos="6120"/>
        </w:tabs>
        <w:rPr>
          <w:noProof/>
        </w:rPr>
      </w:pPr>
      <w:r w:rsidRPr="00887F6C">
        <w:rPr>
          <w:noProof/>
        </w:rPr>
        <w:tab/>
        <w:t>Președinta</w:t>
      </w:r>
      <w:r w:rsidRPr="00887F6C">
        <w:rPr>
          <w:noProof/>
        </w:rPr>
        <w:tab/>
        <w:t>Președintele</w:t>
      </w:r>
    </w:p>
    <w:p w14:paraId="0090E348" w14:textId="77777777" w:rsidR="00264CE9" w:rsidRPr="00887F6C" w:rsidRDefault="00264CE9">
      <w:pPr>
        <w:spacing w:before="0" w:after="200" w:line="276" w:lineRule="auto"/>
        <w:jc w:val="left"/>
        <w:rPr>
          <w:noProof/>
        </w:rPr>
        <w:sectPr w:rsidR="00264CE9" w:rsidRPr="00887F6C" w:rsidSect="00826666">
          <w:footerReference w:type="default" r:id="rId13"/>
          <w:footerReference w:type="first" r:id="rId14"/>
          <w:pgSz w:w="11907" w:h="16839"/>
          <w:pgMar w:top="1134" w:right="1417" w:bottom="1134" w:left="1417" w:header="709" w:footer="709" w:gutter="0"/>
          <w:cols w:space="708"/>
          <w:docGrid w:linePitch="360"/>
        </w:sectPr>
      </w:pPr>
    </w:p>
    <w:p w14:paraId="516BF7B4" w14:textId="77777777" w:rsidR="00264CE9" w:rsidRPr="00887F6C" w:rsidRDefault="00264CE9" w:rsidP="00E03ED2">
      <w:pPr>
        <w:pStyle w:val="Fichefinanciretitre"/>
        <w:rPr>
          <w:noProof/>
        </w:rPr>
      </w:pPr>
      <w:r w:rsidRPr="00887F6C">
        <w:rPr>
          <w:noProof/>
        </w:rPr>
        <w:lastRenderedPageBreak/>
        <w:t>FIȘĂ FINANCIARĂ LEGISLATIVĂ</w:t>
      </w:r>
    </w:p>
    <w:bookmarkStart w:id="1" w:name="_Toc514941970" w:displacedByCustomXml="next"/>
    <w:sdt>
      <w:sdtPr>
        <w:rPr>
          <w:b w:val="0"/>
          <w:noProof/>
          <w:sz w:val="24"/>
        </w:rPr>
        <w:id w:val="-1693053952"/>
        <w:docPartObj>
          <w:docPartGallery w:val="Table of Contents"/>
          <w:docPartUnique/>
        </w:docPartObj>
      </w:sdtPr>
      <w:sdtEndPr>
        <w:rPr>
          <w:bCs/>
          <w:sz w:val="18"/>
        </w:rPr>
      </w:sdtEndPr>
      <w:sdtContent>
        <w:p w14:paraId="360A9739" w14:textId="77777777" w:rsidR="00264CE9" w:rsidRPr="00887F6C" w:rsidRDefault="00264CE9" w:rsidP="00887F6C">
          <w:pPr>
            <w:pStyle w:val="Titlucuprins"/>
            <w:spacing w:after="120"/>
            <w:rPr>
              <w:noProof/>
            </w:rPr>
          </w:pPr>
          <w:r w:rsidRPr="00887F6C">
            <w:rPr>
              <w:noProof/>
            </w:rPr>
            <w:t>Cuprins</w:t>
          </w:r>
        </w:p>
        <w:p w14:paraId="4F583B0D" w14:textId="77777777" w:rsidR="00264CE9" w:rsidRPr="00887F6C" w:rsidRDefault="00264CE9">
          <w:pPr>
            <w:pStyle w:val="Cuprins1"/>
            <w:rPr>
              <w:rFonts w:asciiTheme="minorHAnsi" w:eastAsiaTheme="minorEastAsia" w:hAnsiTheme="minorHAnsi" w:cstheme="minorBidi"/>
              <w:noProof/>
              <w:sz w:val="22"/>
            </w:rPr>
          </w:pPr>
          <w:r w:rsidRPr="00887F6C">
            <w:rPr>
              <w:noProof/>
            </w:rPr>
            <w:t>1.</w:t>
          </w:r>
          <w:r w:rsidRPr="00887F6C">
            <w:rPr>
              <w:noProof/>
            </w:rPr>
            <w:tab/>
            <w:t>CADRUL PROPUNERII/INIȚIATIVEI</w:t>
          </w:r>
          <w:r w:rsidRPr="00887F6C">
            <w:rPr>
              <w:noProof/>
            </w:rPr>
            <w:tab/>
          </w:r>
          <w:r w:rsidRPr="00887F6C">
            <w:rPr>
              <w:noProof/>
              <w:webHidden/>
            </w:rPr>
            <w:t>3</w:t>
          </w:r>
        </w:p>
        <w:p w14:paraId="06DE374B" w14:textId="77777777" w:rsidR="00264CE9" w:rsidRPr="00887F6C" w:rsidRDefault="00264CE9">
          <w:pPr>
            <w:pStyle w:val="Cuprins2"/>
            <w:rPr>
              <w:rFonts w:asciiTheme="minorHAnsi" w:eastAsiaTheme="minorEastAsia" w:hAnsiTheme="minorHAnsi" w:cstheme="minorBidi"/>
              <w:noProof/>
              <w:sz w:val="22"/>
            </w:rPr>
          </w:pPr>
          <w:r w:rsidRPr="00887F6C">
            <w:rPr>
              <w:noProof/>
            </w:rPr>
            <w:t>1.1.</w:t>
          </w:r>
          <w:r w:rsidRPr="00887F6C">
            <w:rPr>
              <w:noProof/>
            </w:rPr>
            <w:tab/>
            <w:t>Titlul propunerii/inițiativei</w:t>
          </w:r>
          <w:r w:rsidRPr="00887F6C">
            <w:rPr>
              <w:noProof/>
            </w:rPr>
            <w:tab/>
          </w:r>
          <w:r w:rsidRPr="00887F6C">
            <w:rPr>
              <w:noProof/>
              <w:webHidden/>
            </w:rPr>
            <w:t>3</w:t>
          </w:r>
        </w:p>
        <w:p w14:paraId="15FBFC5C" w14:textId="77777777" w:rsidR="00264CE9" w:rsidRPr="00887F6C" w:rsidRDefault="00264CE9">
          <w:pPr>
            <w:pStyle w:val="Cuprins2"/>
            <w:rPr>
              <w:rFonts w:asciiTheme="minorHAnsi" w:eastAsiaTheme="minorEastAsia" w:hAnsiTheme="minorHAnsi" w:cstheme="minorBidi"/>
              <w:noProof/>
              <w:sz w:val="22"/>
            </w:rPr>
          </w:pPr>
          <w:r w:rsidRPr="00887F6C">
            <w:rPr>
              <w:noProof/>
            </w:rPr>
            <w:t>1.2.</w:t>
          </w:r>
          <w:r w:rsidRPr="00887F6C">
            <w:rPr>
              <w:noProof/>
            </w:rPr>
            <w:tab/>
            <w:t>Domeniul (domeniile) de politică în cauză (</w:t>
          </w:r>
          <w:r w:rsidRPr="00887F6C">
            <w:rPr>
              <w:i/>
              <w:noProof/>
            </w:rPr>
            <w:t>clusterul de programe</w:t>
          </w:r>
          <w:r w:rsidRPr="00887F6C">
            <w:rPr>
              <w:noProof/>
            </w:rPr>
            <w:t>)</w:t>
          </w:r>
          <w:r w:rsidRPr="00887F6C">
            <w:rPr>
              <w:noProof/>
            </w:rPr>
            <w:tab/>
          </w:r>
          <w:r w:rsidRPr="00887F6C">
            <w:rPr>
              <w:noProof/>
              <w:webHidden/>
            </w:rPr>
            <w:t>3</w:t>
          </w:r>
        </w:p>
        <w:p w14:paraId="7F0D0D2A" w14:textId="77777777" w:rsidR="00264CE9" w:rsidRPr="00887F6C" w:rsidRDefault="00264CE9">
          <w:pPr>
            <w:pStyle w:val="Cuprins2"/>
            <w:rPr>
              <w:rFonts w:asciiTheme="minorHAnsi" w:eastAsiaTheme="minorEastAsia" w:hAnsiTheme="minorHAnsi" w:cstheme="minorBidi"/>
              <w:noProof/>
              <w:sz w:val="22"/>
            </w:rPr>
          </w:pPr>
          <w:r w:rsidRPr="00887F6C">
            <w:rPr>
              <w:noProof/>
            </w:rPr>
            <w:t>1.3.</w:t>
          </w:r>
          <w:r w:rsidRPr="00887F6C">
            <w:rPr>
              <w:noProof/>
            </w:rPr>
            <w:tab/>
            <w:t>Propunerea/inițiativa se referă la:</w:t>
          </w:r>
          <w:r w:rsidRPr="00887F6C">
            <w:rPr>
              <w:noProof/>
            </w:rPr>
            <w:tab/>
          </w:r>
          <w:r w:rsidRPr="00887F6C">
            <w:rPr>
              <w:noProof/>
              <w:webHidden/>
            </w:rPr>
            <w:t>3</w:t>
          </w:r>
        </w:p>
        <w:p w14:paraId="32BF09DB" w14:textId="77777777" w:rsidR="00264CE9" w:rsidRPr="00887F6C" w:rsidRDefault="00264CE9">
          <w:pPr>
            <w:pStyle w:val="Cuprins2"/>
            <w:rPr>
              <w:rFonts w:asciiTheme="minorHAnsi" w:eastAsiaTheme="minorEastAsia" w:hAnsiTheme="minorHAnsi" w:cstheme="minorBidi"/>
              <w:noProof/>
              <w:sz w:val="22"/>
            </w:rPr>
          </w:pPr>
          <w:r w:rsidRPr="00887F6C">
            <w:rPr>
              <w:noProof/>
            </w:rPr>
            <w:t>1.4.</w:t>
          </w:r>
          <w:r w:rsidRPr="00887F6C">
            <w:rPr>
              <w:noProof/>
            </w:rPr>
            <w:tab/>
            <w:t>Motivele propunerii/inițiativei</w:t>
          </w:r>
          <w:r w:rsidRPr="00887F6C">
            <w:rPr>
              <w:noProof/>
            </w:rPr>
            <w:tab/>
          </w:r>
          <w:r w:rsidRPr="00887F6C">
            <w:rPr>
              <w:noProof/>
              <w:webHidden/>
            </w:rPr>
            <w:t>3</w:t>
          </w:r>
        </w:p>
        <w:p w14:paraId="65E9EB4D" w14:textId="77777777" w:rsidR="00264CE9" w:rsidRPr="00887F6C" w:rsidRDefault="00264CE9">
          <w:pPr>
            <w:pStyle w:val="Cuprins3"/>
            <w:rPr>
              <w:rFonts w:asciiTheme="minorHAnsi" w:eastAsiaTheme="minorEastAsia" w:hAnsiTheme="minorHAnsi" w:cstheme="minorBidi"/>
              <w:noProof/>
              <w:sz w:val="22"/>
            </w:rPr>
          </w:pPr>
          <w:r w:rsidRPr="00887F6C">
            <w:rPr>
              <w:noProof/>
            </w:rPr>
            <w:t>1.4.1.</w:t>
          </w:r>
          <w:r w:rsidRPr="00887F6C">
            <w:rPr>
              <w:noProof/>
            </w:rPr>
            <w:tab/>
            <w:t>Cerința (cerințele) care trebuie îndeplinită (îndeplinite) pe termen scurt sau lung, inclusiv un calendar detaliat pentru punerea în aplicare a inițiativei</w:t>
          </w:r>
          <w:r w:rsidRPr="00887F6C">
            <w:rPr>
              <w:noProof/>
            </w:rPr>
            <w:tab/>
          </w:r>
          <w:r w:rsidRPr="00887F6C">
            <w:rPr>
              <w:noProof/>
              <w:webHidden/>
            </w:rPr>
            <w:t>3</w:t>
          </w:r>
        </w:p>
        <w:p w14:paraId="59F4D385" w14:textId="77777777" w:rsidR="00264CE9" w:rsidRPr="00887F6C" w:rsidRDefault="00264CE9">
          <w:pPr>
            <w:pStyle w:val="Cuprins3"/>
            <w:rPr>
              <w:rFonts w:asciiTheme="minorHAnsi" w:eastAsiaTheme="minorEastAsia" w:hAnsiTheme="minorHAnsi" w:cstheme="minorBidi"/>
              <w:noProof/>
              <w:sz w:val="22"/>
            </w:rPr>
          </w:pPr>
          <w:r w:rsidRPr="00887F6C">
            <w:rPr>
              <w:noProof/>
            </w:rPr>
            <w:t>1.4.2.</w:t>
          </w:r>
          <w:r w:rsidRPr="00887F6C">
            <w:rPr>
              <w:noProof/>
            </w:rPr>
            <w:tab/>
            <w:t>Valoarea adăugată a intervenției Uniunii (ea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r w:rsidRPr="00887F6C">
            <w:rPr>
              <w:noProof/>
            </w:rPr>
            <w:tab/>
          </w:r>
          <w:r w:rsidRPr="00887F6C">
            <w:rPr>
              <w:noProof/>
              <w:webHidden/>
            </w:rPr>
            <w:t>4</w:t>
          </w:r>
        </w:p>
        <w:p w14:paraId="20637A66" w14:textId="77777777" w:rsidR="00264CE9" w:rsidRPr="00887F6C" w:rsidRDefault="00264CE9">
          <w:pPr>
            <w:pStyle w:val="Cuprins3"/>
            <w:rPr>
              <w:rFonts w:asciiTheme="minorHAnsi" w:eastAsiaTheme="minorEastAsia" w:hAnsiTheme="minorHAnsi" w:cstheme="minorBidi"/>
              <w:noProof/>
              <w:sz w:val="22"/>
            </w:rPr>
          </w:pPr>
          <w:r w:rsidRPr="00887F6C">
            <w:rPr>
              <w:noProof/>
            </w:rPr>
            <w:t>1.4.3.</w:t>
          </w:r>
          <w:r w:rsidRPr="00887F6C">
            <w:rPr>
              <w:noProof/>
            </w:rPr>
            <w:tab/>
            <w:t>Învățăminte desprinse din experiențele anterioare similare</w:t>
          </w:r>
          <w:r w:rsidRPr="00887F6C">
            <w:rPr>
              <w:noProof/>
            </w:rPr>
            <w:tab/>
          </w:r>
          <w:r w:rsidRPr="00887F6C">
            <w:rPr>
              <w:noProof/>
              <w:webHidden/>
            </w:rPr>
            <w:t>4</w:t>
          </w:r>
        </w:p>
        <w:p w14:paraId="235B4FCE" w14:textId="77777777" w:rsidR="00264CE9" w:rsidRPr="00887F6C" w:rsidRDefault="00264CE9">
          <w:pPr>
            <w:pStyle w:val="Cuprins3"/>
            <w:rPr>
              <w:rFonts w:asciiTheme="minorHAnsi" w:eastAsiaTheme="minorEastAsia" w:hAnsiTheme="minorHAnsi" w:cstheme="minorBidi"/>
              <w:noProof/>
              <w:sz w:val="22"/>
            </w:rPr>
          </w:pPr>
          <w:r w:rsidRPr="00887F6C">
            <w:rPr>
              <w:noProof/>
            </w:rPr>
            <w:t>1.4.4.</w:t>
          </w:r>
          <w:r w:rsidRPr="00887F6C">
            <w:rPr>
              <w:noProof/>
            </w:rPr>
            <w:tab/>
            <w:t>Compatibilitatea și posibila sinergie cu alte instrumente corespunzătoare</w:t>
          </w:r>
          <w:r w:rsidRPr="00887F6C">
            <w:rPr>
              <w:noProof/>
            </w:rPr>
            <w:tab/>
          </w:r>
          <w:r w:rsidRPr="00887F6C">
            <w:rPr>
              <w:noProof/>
              <w:webHidden/>
            </w:rPr>
            <w:t>5</w:t>
          </w:r>
        </w:p>
        <w:p w14:paraId="011166E2" w14:textId="77777777" w:rsidR="00264CE9" w:rsidRPr="00887F6C" w:rsidRDefault="00264CE9">
          <w:pPr>
            <w:pStyle w:val="Cuprins2"/>
            <w:rPr>
              <w:rFonts w:asciiTheme="minorHAnsi" w:eastAsiaTheme="minorEastAsia" w:hAnsiTheme="minorHAnsi" w:cstheme="minorBidi"/>
              <w:noProof/>
              <w:sz w:val="22"/>
            </w:rPr>
          </w:pPr>
          <w:r w:rsidRPr="00887F6C">
            <w:rPr>
              <w:noProof/>
            </w:rPr>
            <w:t>1.5.</w:t>
          </w:r>
          <w:r w:rsidRPr="00887F6C">
            <w:rPr>
              <w:noProof/>
            </w:rPr>
            <w:tab/>
            <w:t>Durata și impactul financiar</w:t>
          </w:r>
          <w:r w:rsidRPr="00887F6C">
            <w:rPr>
              <w:noProof/>
            </w:rPr>
            <w:tab/>
          </w:r>
          <w:r w:rsidRPr="00887F6C">
            <w:rPr>
              <w:noProof/>
              <w:webHidden/>
            </w:rPr>
            <w:t>6</w:t>
          </w:r>
        </w:p>
        <w:p w14:paraId="13A4A5CD" w14:textId="77777777" w:rsidR="00264CE9" w:rsidRPr="00887F6C" w:rsidRDefault="00264CE9">
          <w:pPr>
            <w:pStyle w:val="Cuprins2"/>
            <w:rPr>
              <w:rFonts w:asciiTheme="minorHAnsi" w:eastAsiaTheme="minorEastAsia" w:hAnsiTheme="minorHAnsi" w:cstheme="minorBidi"/>
              <w:noProof/>
              <w:sz w:val="22"/>
            </w:rPr>
          </w:pPr>
          <w:r w:rsidRPr="00887F6C">
            <w:rPr>
              <w:noProof/>
            </w:rPr>
            <w:t>1.6.</w:t>
          </w:r>
          <w:r w:rsidRPr="00887F6C">
            <w:rPr>
              <w:noProof/>
            </w:rPr>
            <w:tab/>
            <w:t>Modul (modurile) de gestiune preconizat(e)</w:t>
          </w:r>
          <w:r w:rsidRPr="00887F6C">
            <w:rPr>
              <w:noProof/>
            </w:rPr>
            <w:tab/>
          </w:r>
          <w:r w:rsidRPr="00887F6C">
            <w:rPr>
              <w:noProof/>
              <w:webHidden/>
            </w:rPr>
            <w:t>6</w:t>
          </w:r>
        </w:p>
        <w:p w14:paraId="2E7957B5" w14:textId="77777777" w:rsidR="00264CE9" w:rsidRPr="00887F6C" w:rsidRDefault="00264CE9">
          <w:pPr>
            <w:pStyle w:val="Cuprins1"/>
            <w:rPr>
              <w:rFonts w:asciiTheme="minorHAnsi" w:eastAsiaTheme="minorEastAsia" w:hAnsiTheme="minorHAnsi" w:cstheme="minorBidi"/>
              <w:noProof/>
              <w:sz w:val="22"/>
            </w:rPr>
          </w:pPr>
          <w:r w:rsidRPr="00887F6C">
            <w:rPr>
              <w:noProof/>
            </w:rPr>
            <w:t>2.</w:t>
          </w:r>
          <w:r w:rsidRPr="00887F6C">
            <w:rPr>
              <w:noProof/>
            </w:rPr>
            <w:tab/>
            <w:t>MĂSURI DE GESTIUNE</w:t>
          </w:r>
          <w:r w:rsidRPr="00887F6C">
            <w:rPr>
              <w:noProof/>
            </w:rPr>
            <w:tab/>
          </w:r>
          <w:r w:rsidRPr="00887F6C">
            <w:rPr>
              <w:noProof/>
              <w:webHidden/>
            </w:rPr>
            <w:t>8</w:t>
          </w:r>
        </w:p>
        <w:p w14:paraId="00267C82" w14:textId="77777777" w:rsidR="00264CE9" w:rsidRPr="00887F6C" w:rsidRDefault="00264CE9">
          <w:pPr>
            <w:pStyle w:val="Cuprins2"/>
            <w:rPr>
              <w:rFonts w:asciiTheme="minorHAnsi" w:eastAsiaTheme="minorEastAsia" w:hAnsiTheme="minorHAnsi" w:cstheme="minorBidi"/>
              <w:noProof/>
              <w:sz w:val="22"/>
            </w:rPr>
          </w:pPr>
          <w:r w:rsidRPr="00887F6C">
            <w:rPr>
              <w:noProof/>
            </w:rPr>
            <w:t>2.1.</w:t>
          </w:r>
          <w:r w:rsidRPr="00887F6C">
            <w:rPr>
              <w:noProof/>
            </w:rPr>
            <w:tab/>
            <w:t>Dispoziții în materie de monitorizare și de raportare</w:t>
          </w:r>
          <w:r w:rsidRPr="00887F6C">
            <w:rPr>
              <w:noProof/>
            </w:rPr>
            <w:tab/>
          </w:r>
          <w:r w:rsidRPr="00887F6C">
            <w:rPr>
              <w:noProof/>
              <w:webHidden/>
            </w:rPr>
            <w:t>8</w:t>
          </w:r>
        </w:p>
        <w:p w14:paraId="5F833678" w14:textId="77777777" w:rsidR="00264CE9" w:rsidRPr="00887F6C" w:rsidRDefault="00264CE9">
          <w:pPr>
            <w:pStyle w:val="Cuprins2"/>
            <w:rPr>
              <w:rFonts w:asciiTheme="minorHAnsi" w:eastAsiaTheme="minorEastAsia" w:hAnsiTheme="minorHAnsi" w:cstheme="minorBidi"/>
              <w:noProof/>
              <w:sz w:val="22"/>
            </w:rPr>
          </w:pPr>
          <w:r w:rsidRPr="00887F6C">
            <w:rPr>
              <w:noProof/>
            </w:rPr>
            <w:t>2.2.</w:t>
          </w:r>
          <w:r w:rsidRPr="00887F6C">
            <w:rPr>
              <w:noProof/>
            </w:rPr>
            <w:tab/>
            <w:t>Sistemul (sistemele) de gestiune și de control</w:t>
          </w:r>
          <w:r w:rsidRPr="00887F6C">
            <w:rPr>
              <w:noProof/>
            </w:rPr>
            <w:tab/>
          </w:r>
          <w:r w:rsidRPr="00887F6C">
            <w:rPr>
              <w:noProof/>
              <w:webHidden/>
            </w:rPr>
            <w:t>8</w:t>
          </w:r>
        </w:p>
        <w:p w14:paraId="47CD745F" w14:textId="77777777" w:rsidR="00264CE9" w:rsidRPr="00887F6C" w:rsidRDefault="00264CE9">
          <w:pPr>
            <w:pStyle w:val="Cuprins3"/>
            <w:rPr>
              <w:rFonts w:asciiTheme="minorHAnsi" w:eastAsiaTheme="minorEastAsia" w:hAnsiTheme="minorHAnsi" w:cstheme="minorBidi"/>
              <w:noProof/>
              <w:sz w:val="22"/>
            </w:rPr>
          </w:pPr>
          <w:r w:rsidRPr="00887F6C">
            <w:rPr>
              <w:noProof/>
            </w:rPr>
            <w:t>2.2.1.</w:t>
          </w:r>
          <w:r w:rsidRPr="00887F6C">
            <w:rPr>
              <w:noProof/>
            </w:rPr>
            <w:tab/>
            <w:t>Justificarea modului (modurilor) de gestiune, a mecanismului (mecanismelor) de punere în aplicare a finanțării, a modalităților de plată și a strategiei de control propuse</w:t>
          </w:r>
          <w:r w:rsidRPr="00887F6C">
            <w:rPr>
              <w:noProof/>
            </w:rPr>
            <w:tab/>
          </w:r>
          <w:r w:rsidRPr="00887F6C">
            <w:rPr>
              <w:noProof/>
              <w:webHidden/>
            </w:rPr>
            <w:t>8</w:t>
          </w:r>
        </w:p>
        <w:p w14:paraId="2FF637BB" w14:textId="77777777" w:rsidR="00264CE9" w:rsidRPr="00887F6C" w:rsidRDefault="00264CE9">
          <w:pPr>
            <w:pStyle w:val="Cuprins3"/>
            <w:rPr>
              <w:rFonts w:asciiTheme="minorHAnsi" w:eastAsiaTheme="minorEastAsia" w:hAnsiTheme="minorHAnsi" w:cstheme="minorBidi"/>
              <w:noProof/>
              <w:sz w:val="22"/>
            </w:rPr>
          </w:pPr>
          <w:r w:rsidRPr="00887F6C">
            <w:rPr>
              <w:noProof/>
            </w:rPr>
            <w:t>2.2.2.</w:t>
          </w:r>
          <w:r w:rsidRPr="00887F6C">
            <w:rPr>
              <w:noProof/>
            </w:rPr>
            <w:tab/>
            <w:t>Informații privind riscurile identificate și sistemul (sistemele) de control intern instituit(e) pentru atenuarea lor</w:t>
          </w:r>
          <w:r w:rsidRPr="00887F6C">
            <w:rPr>
              <w:noProof/>
            </w:rPr>
            <w:tab/>
          </w:r>
          <w:r w:rsidRPr="00887F6C">
            <w:rPr>
              <w:noProof/>
              <w:webHidden/>
            </w:rPr>
            <w:t>9</w:t>
          </w:r>
        </w:p>
        <w:p w14:paraId="13C4C4E6" w14:textId="77777777" w:rsidR="00264CE9" w:rsidRPr="00887F6C" w:rsidRDefault="00264CE9">
          <w:pPr>
            <w:pStyle w:val="Cuprins3"/>
            <w:rPr>
              <w:rFonts w:asciiTheme="minorHAnsi" w:eastAsiaTheme="minorEastAsia" w:hAnsiTheme="minorHAnsi" w:cstheme="minorBidi"/>
              <w:noProof/>
              <w:sz w:val="22"/>
            </w:rPr>
          </w:pPr>
          <w:r w:rsidRPr="00887F6C">
            <w:rPr>
              <w:noProof/>
            </w:rPr>
            <w:t>2.2.3.</w:t>
          </w:r>
          <w:r w:rsidRPr="00887F6C">
            <w:rPr>
              <w:noProof/>
            </w:rPr>
            <w:tab/>
            <w:t>Estimarea și justificarea raportului cost-eficacitate al controalelor (raportul „costurile controalelor ÷ valoarea fondurilor aferente gestionate”) și evaluarea nivelurilor preconizate ale riscului de eroare (la plată și la închidere)</w:t>
          </w:r>
          <w:r w:rsidRPr="00887F6C">
            <w:rPr>
              <w:noProof/>
            </w:rPr>
            <w:tab/>
          </w:r>
          <w:r w:rsidRPr="00887F6C">
            <w:rPr>
              <w:noProof/>
              <w:webHidden/>
            </w:rPr>
            <w:t>9</w:t>
          </w:r>
        </w:p>
        <w:p w14:paraId="7EC2555C" w14:textId="77777777" w:rsidR="00264CE9" w:rsidRPr="00887F6C" w:rsidRDefault="00264CE9">
          <w:pPr>
            <w:pStyle w:val="Cuprins2"/>
            <w:rPr>
              <w:rFonts w:asciiTheme="minorHAnsi" w:eastAsiaTheme="minorEastAsia" w:hAnsiTheme="minorHAnsi" w:cstheme="minorBidi"/>
              <w:noProof/>
              <w:sz w:val="22"/>
            </w:rPr>
          </w:pPr>
          <w:r w:rsidRPr="00887F6C">
            <w:rPr>
              <w:noProof/>
            </w:rPr>
            <w:t>2.3.</w:t>
          </w:r>
          <w:r w:rsidRPr="00887F6C">
            <w:rPr>
              <w:noProof/>
            </w:rPr>
            <w:tab/>
            <w:t>Măsuri de prevenire a fraudelor și a neregulilor</w:t>
          </w:r>
          <w:r w:rsidRPr="00887F6C">
            <w:rPr>
              <w:noProof/>
            </w:rPr>
            <w:tab/>
          </w:r>
          <w:r w:rsidRPr="00887F6C">
            <w:rPr>
              <w:noProof/>
              <w:webHidden/>
            </w:rPr>
            <w:t>9</w:t>
          </w:r>
        </w:p>
        <w:p w14:paraId="0051B844" w14:textId="77777777" w:rsidR="00264CE9" w:rsidRPr="00887F6C" w:rsidRDefault="00264CE9">
          <w:pPr>
            <w:pStyle w:val="Cuprins1"/>
            <w:rPr>
              <w:rFonts w:asciiTheme="minorHAnsi" w:eastAsiaTheme="minorEastAsia" w:hAnsiTheme="minorHAnsi" w:cstheme="minorBidi"/>
              <w:noProof/>
              <w:sz w:val="22"/>
            </w:rPr>
          </w:pPr>
          <w:r w:rsidRPr="00887F6C">
            <w:rPr>
              <w:noProof/>
            </w:rPr>
            <w:t>3.</w:t>
          </w:r>
          <w:r w:rsidRPr="00887F6C">
            <w:rPr>
              <w:noProof/>
            </w:rPr>
            <w:tab/>
            <w:t>IMPACTUL FINANCIAR ESTIMAT AL PROPUNERII/INIȚIATIVEI</w:t>
          </w:r>
          <w:r w:rsidRPr="00887F6C">
            <w:rPr>
              <w:noProof/>
            </w:rPr>
            <w:tab/>
          </w:r>
          <w:r w:rsidRPr="00887F6C">
            <w:rPr>
              <w:noProof/>
              <w:webHidden/>
            </w:rPr>
            <w:t>10</w:t>
          </w:r>
        </w:p>
        <w:p w14:paraId="5A16B655" w14:textId="77777777" w:rsidR="00264CE9" w:rsidRPr="00887F6C" w:rsidRDefault="00264CE9">
          <w:pPr>
            <w:pStyle w:val="Cuprins2"/>
            <w:rPr>
              <w:rFonts w:asciiTheme="minorHAnsi" w:eastAsiaTheme="minorEastAsia" w:hAnsiTheme="minorHAnsi" w:cstheme="minorBidi"/>
              <w:noProof/>
              <w:sz w:val="22"/>
            </w:rPr>
          </w:pPr>
          <w:r w:rsidRPr="00887F6C">
            <w:rPr>
              <w:noProof/>
            </w:rPr>
            <w:t>3.1.</w:t>
          </w:r>
          <w:r w:rsidRPr="00887F6C">
            <w:rPr>
              <w:noProof/>
            </w:rPr>
            <w:tab/>
            <w:t>Rubrica din cadrul financiar multianual și linia (liniile) bugetară (bugetare) de cheltuieli afectată (afectate)</w:t>
          </w:r>
          <w:r w:rsidRPr="00887F6C">
            <w:rPr>
              <w:noProof/>
            </w:rPr>
            <w:tab/>
          </w:r>
          <w:r w:rsidRPr="00887F6C">
            <w:rPr>
              <w:noProof/>
              <w:webHidden/>
            </w:rPr>
            <w:t>10</w:t>
          </w:r>
        </w:p>
        <w:p w14:paraId="345DCC79" w14:textId="77777777" w:rsidR="00264CE9" w:rsidRPr="00887F6C" w:rsidRDefault="00264CE9">
          <w:pPr>
            <w:pStyle w:val="Cuprins2"/>
            <w:rPr>
              <w:rFonts w:asciiTheme="minorHAnsi" w:eastAsiaTheme="minorEastAsia" w:hAnsiTheme="minorHAnsi" w:cstheme="minorBidi"/>
              <w:noProof/>
              <w:sz w:val="22"/>
            </w:rPr>
          </w:pPr>
          <w:r w:rsidRPr="00887F6C">
            <w:rPr>
              <w:noProof/>
            </w:rPr>
            <w:t>3.2.</w:t>
          </w:r>
          <w:r w:rsidRPr="00887F6C">
            <w:rPr>
              <w:noProof/>
            </w:rPr>
            <w:tab/>
            <w:t>Impactul estimat asupra cheltuielilor</w:t>
          </w:r>
          <w:r w:rsidRPr="00887F6C">
            <w:rPr>
              <w:noProof/>
            </w:rPr>
            <w:tab/>
          </w:r>
          <w:r w:rsidRPr="00887F6C">
            <w:rPr>
              <w:noProof/>
              <w:webHidden/>
            </w:rPr>
            <w:t>11</w:t>
          </w:r>
        </w:p>
        <w:p w14:paraId="0D7A0DE9" w14:textId="77777777" w:rsidR="00264CE9" w:rsidRPr="00887F6C" w:rsidRDefault="00264CE9">
          <w:pPr>
            <w:pStyle w:val="Cuprins3"/>
            <w:rPr>
              <w:rFonts w:asciiTheme="minorHAnsi" w:eastAsiaTheme="minorEastAsia" w:hAnsiTheme="minorHAnsi" w:cstheme="minorBidi"/>
              <w:noProof/>
              <w:sz w:val="22"/>
            </w:rPr>
          </w:pPr>
          <w:r w:rsidRPr="00887F6C">
            <w:rPr>
              <w:noProof/>
            </w:rPr>
            <w:t>3.2.1.</w:t>
          </w:r>
          <w:r w:rsidRPr="00887F6C">
            <w:rPr>
              <w:noProof/>
            </w:rPr>
            <w:tab/>
            <w:t>Sinteza impactului estimat asupra cheltuielilor</w:t>
          </w:r>
          <w:r w:rsidRPr="00887F6C">
            <w:rPr>
              <w:noProof/>
            </w:rPr>
            <w:tab/>
          </w:r>
          <w:r w:rsidRPr="00887F6C">
            <w:rPr>
              <w:noProof/>
              <w:webHidden/>
            </w:rPr>
            <w:t>11</w:t>
          </w:r>
        </w:p>
        <w:p w14:paraId="1E744FDB" w14:textId="77777777" w:rsidR="00264CE9" w:rsidRPr="00887F6C" w:rsidRDefault="00264CE9">
          <w:pPr>
            <w:pStyle w:val="Cuprins3"/>
            <w:rPr>
              <w:rFonts w:asciiTheme="minorHAnsi" w:eastAsiaTheme="minorEastAsia" w:hAnsiTheme="minorHAnsi" w:cstheme="minorBidi"/>
              <w:noProof/>
              <w:sz w:val="22"/>
            </w:rPr>
          </w:pPr>
          <w:r w:rsidRPr="00887F6C">
            <w:rPr>
              <w:noProof/>
            </w:rPr>
            <w:t>3.2.2.</w:t>
          </w:r>
          <w:r w:rsidRPr="00887F6C">
            <w:rPr>
              <w:noProof/>
            </w:rPr>
            <w:tab/>
            <w:t>Sinteza impactului estimat asupra creditelor cu caracter administrativ</w:t>
          </w:r>
          <w:r w:rsidRPr="00887F6C">
            <w:rPr>
              <w:noProof/>
            </w:rPr>
            <w:tab/>
          </w:r>
          <w:r w:rsidRPr="00887F6C">
            <w:rPr>
              <w:noProof/>
              <w:webHidden/>
            </w:rPr>
            <w:t>13</w:t>
          </w:r>
        </w:p>
        <w:p w14:paraId="6F283E7A" w14:textId="77777777" w:rsidR="00264CE9" w:rsidRPr="00887F6C" w:rsidRDefault="00264CE9">
          <w:pPr>
            <w:pStyle w:val="Cuprins3"/>
            <w:rPr>
              <w:rFonts w:asciiTheme="minorHAnsi" w:eastAsiaTheme="minorEastAsia" w:hAnsiTheme="minorHAnsi" w:cstheme="minorBidi"/>
              <w:noProof/>
              <w:sz w:val="22"/>
            </w:rPr>
          </w:pPr>
          <w:r w:rsidRPr="00887F6C">
            <w:rPr>
              <w:noProof/>
            </w:rPr>
            <w:t>3.2.3.</w:t>
          </w:r>
          <w:r w:rsidRPr="00887F6C">
            <w:rPr>
              <w:noProof/>
            </w:rPr>
            <w:tab/>
            <w:t>Contribuțiile terților</w:t>
          </w:r>
          <w:r w:rsidRPr="00887F6C">
            <w:rPr>
              <w:noProof/>
            </w:rPr>
            <w:tab/>
          </w:r>
          <w:r w:rsidRPr="00887F6C">
            <w:rPr>
              <w:noProof/>
              <w:webHidden/>
            </w:rPr>
            <w:t>15</w:t>
          </w:r>
        </w:p>
        <w:p w14:paraId="75F1B7D1" w14:textId="77777777" w:rsidR="00264CE9" w:rsidRPr="00887F6C" w:rsidRDefault="00264CE9">
          <w:pPr>
            <w:pStyle w:val="Cuprins2"/>
            <w:rPr>
              <w:rFonts w:asciiTheme="minorHAnsi" w:eastAsiaTheme="minorEastAsia" w:hAnsiTheme="minorHAnsi" w:cstheme="minorBidi"/>
              <w:noProof/>
              <w:sz w:val="22"/>
            </w:rPr>
          </w:pPr>
          <w:r w:rsidRPr="00887F6C">
            <w:rPr>
              <w:noProof/>
            </w:rPr>
            <w:t>3.3.</w:t>
          </w:r>
          <w:r w:rsidRPr="00887F6C">
            <w:rPr>
              <w:noProof/>
            </w:rPr>
            <w:tab/>
            <w:t>Impactul estimat asupra veniturilor</w:t>
          </w:r>
          <w:r w:rsidRPr="00887F6C">
            <w:rPr>
              <w:noProof/>
            </w:rPr>
            <w:tab/>
          </w:r>
          <w:r w:rsidRPr="00887F6C">
            <w:rPr>
              <w:noProof/>
              <w:webHidden/>
            </w:rPr>
            <w:t>15</w:t>
          </w:r>
        </w:p>
        <w:p w14:paraId="5525C389" w14:textId="77777777" w:rsidR="00264CE9" w:rsidRPr="00887F6C" w:rsidRDefault="00E22801">
          <w:pPr>
            <w:rPr>
              <w:noProof/>
              <w:sz w:val="18"/>
            </w:rPr>
          </w:pPr>
        </w:p>
      </w:sdtContent>
    </w:sdt>
    <w:p w14:paraId="24CB4D4A" w14:textId="77777777" w:rsidR="00264CE9" w:rsidRPr="00887F6C" w:rsidRDefault="00264CE9" w:rsidP="000727A1">
      <w:pPr>
        <w:rPr>
          <w:noProof/>
          <w:sz w:val="18"/>
        </w:rPr>
        <w:sectPr w:rsidR="00264CE9" w:rsidRPr="00887F6C" w:rsidSect="00826666">
          <w:pgSz w:w="11907" w:h="16839"/>
          <w:pgMar w:top="1134" w:right="1417" w:bottom="1134" w:left="1417" w:header="709" w:footer="709" w:gutter="0"/>
          <w:cols w:space="708"/>
          <w:docGrid w:linePitch="360"/>
        </w:sectPr>
      </w:pPr>
    </w:p>
    <w:p w14:paraId="2660E6A7" w14:textId="77777777" w:rsidR="00264CE9" w:rsidRPr="00887F6C" w:rsidRDefault="00264CE9" w:rsidP="00C12640">
      <w:pPr>
        <w:pStyle w:val="Annexetitrefichefinancire"/>
        <w:rPr>
          <w:noProof/>
        </w:rPr>
      </w:pPr>
      <w:r w:rsidRPr="00887F6C">
        <w:rPr>
          <w:noProof/>
        </w:rPr>
        <w:lastRenderedPageBreak/>
        <w:t>FIȘĂ FINANCIARĂ LEGISLATIVĂ</w:t>
      </w:r>
      <w:bookmarkEnd w:id="1"/>
    </w:p>
    <w:p w14:paraId="6E7D552E" w14:textId="57877FAC" w:rsidR="00264CE9" w:rsidRPr="00887F6C" w:rsidRDefault="004432B5" w:rsidP="004432B5">
      <w:pPr>
        <w:pStyle w:val="ManualHeading1"/>
        <w:rPr>
          <w:noProof/>
        </w:rPr>
      </w:pPr>
      <w:bookmarkStart w:id="2" w:name="_Toc514941971"/>
      <w:bookmarkStart w:id="3" w:name="_Toc520485198"/>
      <w:r w:rsidRPr="004432B5">
        <w:t>1.</w:t>
      </w:r>
      <w:r w:rsidRPr="004432B5">
        <w:tab/>
      </w:r>
      <w:r w:rsidR="00264CE9" w:rsidRPr="00887F6C">
        <w:rPr>
          <w:noProof/>
        </w:rPr>
        <w:t>CADRUL PROPUNERII/INIȚIATIVEI</w:t>
      </w:r>
      <w:bookmarkEnd w:id="2"/>
      <w:bookmarkEnd w:id="3"/>
      <w:r w:rsidR="00264CE9" w:rsidRPr="00887F6C">
        <w:rPr>
          <w:noProof/>
        </w:rPr>
        <w:t xml:space="preserve"> </w:t>
      </w:r>
    </w:p>
    <w:p w14:paraId="5939AE9C" w14:textId="5C3AD197" w:rsidR="00264CE9" w:rsidRPr="00887F6C" w:rsidRDefault="004432B5" w:rsidP="004432B5">
      <w:pPr>
        <w:pStyle w:val="ManualHeading2"/>
        <w:rPr>
          <w:noProof/>
        </w:rPr>
      </w:pPr>
      <w:bookmarkStart w:id="4" w:name="_Toc514941972"/>
      <w:bookmarkStart w:id="5" w:name="_Toc520485199"/>
      <w:r w:rsidRPr="004432B5">
        <w:t>1.1.</w:t>
      </w:r>
      <w:r w:rsidRPr="004432B5">
        <w:tab/>
      </w:r>
      <w:r w:rsidR="00264CE9" w:rsidRPr="00887F6C">
        <w:rPr>
          <w:noProof/>
        </w:rPr>
        <w:t>Titlul propunerii/inițiativei</w:t>
      </w:r>
      <w:bookmarkEnd w:id="4"/>
      <w:bookmarkEnd w:id="5"/>
      <w:r w:rsidR="00264CE9" w:rsidRPr="00887F6C">
        <w:rPr>
          <w:noProof/>
        </w:rPr>
        <w:t xml:space="preserve"> </w:t>
      </w:r>
    </w:p>
    <w:p w14:paraId="14EC7BE7"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bookmarkStart w:id="6" w:name="_Toc514941973"/>
      <w:r w:rsidRPr="00887F6C">
        <w:rPr>
          <w:noProof/>
        </w:rPr>
        <w:t>DECIZIE A PARLAMENTULUI EUROPEAN ȘI A CONSILIULUI</w:t>
      </w:r>
    </w:p>
    <w:p w14:paraId="4F5A0F9B"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de modificare a Deciziei (UE) 2017/1324 în ceea ce privește continuarea participării Uniunii la Parteneriatul în domeniul cercetării și inovării în zona mediteraneeană (PRIMA) în cadrul programului Orizont Europa</w:t>
      </w:r>
    </w:p>
    <w:p w14:paraId="4D157A1C" w14:textId="7CE79B39" w:rsidR="00264CE9" w:rsidRPr="00887F6C" w:rsidRDefault="004432B5" w:rsidP="004432B5">
      <w:pPr>
        <w:pStyle w:val="ManualHeading2"/>
        <w:rPr>
          <w:i/>
          <w:noProof/>
        </w:rPr>
      </w:pPr>
      <w:bookmarkStart w:id="7" w:name="_Toc520485200"/>
      <w:r w:rsidRPr="004432B5">
        <w:t>1.2.</w:t>
      </w:r>
      <w:r w:rsidRPr="004432B5">
        <w:tab/>
      </w:r>
      <w:r w:rsidR="00264CE9" w:rsidRPr="00887F6C">
        <w:rPr>
          <w:noProof/>
        </w:rPr>
        <w:t>Domeniul (domeniile) de politică în cauză (</w:t>
      </w:r>
      <w:r w:rsidR="00264CE9" w:rsidRPr="00887F6C">
        <w:rPr>
          <w:i/>
          <w:noProof/>
        </w:rPr>
        <w:t>clusterul de program</w:t>
      </w:r>
      <w:r w:rsidR="00264CE9" w:rsidRPr="00887F6C">
        <w:rPr>
          <w:noProof/>
        </w:rPr>
        <w:t>e)</w:t>
      </w:r>
      <w:bookmarkEnd w:id="6"/>
      <w:bookmarkEnd w:id="7"/>
    </w:p>
    <w:p w14:paraId="4BFA64FB"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bookmarkStart w:id="8" w:name="_Toc514941974"/>
      <w:r w:rsidRPr="00887F6C">
        <w:rPr>
          <w:noProof/>
        </w:rPr>
        <w:t>Activitate: Orizont Europa, pilonul II, „Provocări globale și competitivitate industrială europeană”, clusterul (vi) Alimente, bioeconomie, resurse naturale, agricultură și mediu</w:t>
      </w:r>
    </w:p>
    <w:p w14:paraId="6000BEBC" w14:textId="49FCA8E1" w:rsidR="00264CE9" w:rsidRPr="00887F6C" w:rsidRDefault="004432B5" w:rsidP="004432B5">
      <w:pPr>
        <w:pStyle w:val="ManualHeading2"/>
        <w:rPr>
          <w:bCs/>
          <w:noProof/>
          <w:szCs w:val="24"/>
        </w:rPr>
      </w:pPr>
      <w:bookmarkStart w:id="9" w:name="_Toc520485201"/>
      <w:r w:rsidRPr="004432B5">
        <w:t>1.3.</w:t>
      </w:r>
      <w:r w:rsidRPr="004432B5">
        <w:tab/>
      </w:r>
      <w:r w:rsidR="00264CE9" w:rsidRPr="00887F6C">
        <w:rPr>
          <w:noProof/>
        </w:rPr>
        <w:t>Propunerea/inițiativa se referă la:</w:t>
      </w:r>
      <w:bookmarkEnd w:id="8"/>
      <w:bookmarkEnd w:id="9"/>
      <w:r w:rsidR="00264CE9" w:rsidRPr="00887F6C">
        <w:rPr>
          <w:noProof/>
        </w:rPr>
        <w:t xml:space="preserve"> </w:t>
      </w:r>
    </w:p>
    <w:p w14:paraId="17A20C10" w14:textId="77777777" w:rsidR="00264CE9" w:rsidRPr="00887F6C" w:rsidRDefault="00264CE9" w:rsidP="000727A1">
      <w:pPr>
        <w:pStyle w:val="Text1"/>
        <w:rPr>
          <w:b/>
          <w:noProof/>
          <w:sz w:val="22"/>
        </w:rPr>
      </w:pPr>
      <w:r w:rsidRPr="00887F6C">
        <w:rPr>
          <w:rFonts w:ascii="Wingdings" w:hAnsi="Wingdings"/>
          <w:noProof/>
          <w:sz w:val="22"/>
        </w:rPr>
        <w:t></w:t>
      </w:r>
      <w:r w:rsidRPr="00887F6C">
        <w:rPr>
          <w:b/>
          <w:i/>
          <w:noProof/>
          <w:sz w:val="22"/>
        </w:rPr>
        <w:t xml:space="preserve"> </w:t>
      </w:r>
      <w:r w:rsidRPr="00887F6C">
        <w:rPr>
          <w:b/>
          <w:noProof/>
        </w:rPr>
        <w:t>o acțiune nouă</w:t>
      </w:r>
      <w:r w:rsidRPr="00887F6C">
        <w:rPr>
          <w:b/>
          <w:noProof/>
          <w:sz w:val="22"/>
        </w:rPr>
        <w:t xml:space="preserve"> </w:t>
      </w:r>
    </w:p>
    <w:p w14:paraId="3EB58C84" w14:textId="77777777" w:rsidR="00264CE9" w:rsidRPr="00887F6C" w:rsidRDefault="38EAB029" w:rsidP="000727A1">
      <w:pPr>
        <w:pStyle w:val="Text1"/>
        <w:rPr>
          <w:noProof/>
          <w:sz w:val="22"/>
        </w:rPr>
      </w:pPr>
      <w:r w:rsidRPr="00887F6C">
        <w:rPr>
          <w:rFonts w:ascii="Wingdings" w:hAnsi="Wingdings"/>
          <w:noProof/>
          <w:sz w:val="22"/>
        </w:rPr>
        <w:t></w:t>
      </w:r>
      <w:r w:rsidRPr="00887F6C">
        <w:rPr>
          <w:i/>
          <w:noProof/>
          <w:sz w:val="22"/>
        </w:rPr>
        <w:t xml:space="preserve"> </w:t>
      </w:r>
      <w:r w:rsidRPr="00887F6C">
        <w:rPr>
          <w:b/>
          <w:noProof/>
        </w:rPr>
        <w:t>o acțiune nouă întreprinsă ca urmare a unui proiect-pilot/a unei acțiuni pregătitoare</w:t>
      </w:r>
      <w:r w:rsidRPr="00887F6C">
        <w:rPr>
          <w:rStyle w:val="Referinnotdesubsol"/>
          <w:noProof/>
        </w:rPr>
        <w:footnoteReference w:id="29"/>
      </w:r>
      <w:r w:rsidRPr="00887F6C">
        <w:rPr>
          <w:noProof/>
          <w:sz w:val="22"/>
        </w:rPr>
        <w:t xml:space="preserve"> </w:t>
      </w:r>
    </w:p>
    <w:p w14:paraId="55DC8176" w14:textId="77777777" w:rsidR="00264CE9" w:rsidRPr="00887F6C" w:rsidRDefault="00264CE9" w:rsidP="000727A1">
      <w:pPr>
        <w:pStyle w:val="Text1"/>
        <w:rPr>
          <w:noProof/>
          <w:sz w:val="22"/>
        </w:rPr>
      </w:pPr>
      <w:r w:rsidRPr="00887F6C">
        <w:rPr>
          <w:rFonts w:ascii="Wingdings" w:hAnsi="Wingdings"/>
          <w:noProof/>
          <w:sz w:val="22"/>
        </w:rPr>
        <w:t></w:t>
      </w:r>
      <w:r w:rsidRPr="00887F6C">
        <w:rPr>
          <w:i/>
          <w:noProof/>
          <w:sz w:val="22"/>
        </w:rPr>
        <w:t xml:space="preserve"> </w:t>
      </w:r>
      <w:r w:rsidRPr="00887F6C">
        <w:rPr>
          <w:b/>
          <w:noProof/>
        </w:rPr>
        <w:t>extinderea unei acțiuni existente</w:t>
      </w:r>
      <w:r w:rsidRPr="00887F6C">
        <w:rPr>
          <w:noProof/>
          <w:sz w:val="22"/>
        </w:rPr>
        <w:t xml:space="preserve"> </w:t>
      </w:r>
    </w:p>
    <w:p w14:paraId="075F8016" w14:textId="77777777" w:rsidR="00264CE9" w:rsidRPr="00887F6C" w:rsidRDefault="00264CE9" w:rsidP="000727A1">
      <w:pPr>
        <w:pStyle w:val="Text1"/>
        <w:rPr>
          <w:noProof/>
        </w:rPr>
      </w:pPr>
      <w:r w:rsidRPr="00887F6C">
        <w:rPr>
          <w:rFonts w:ascii="Wingdings" w:hAnsi="Wingdings"/>
          <w:noProof/>
          <w:sz w:val="22"/>
        </w:rPr>
        <w:t></w:t>
      </w:r>
      <w:r w:rsidRPr="00887F6C">
        <w:rPr>
          <w:i/>
          <w:noProof/>
          <w:sz w:val="22"/>
        </w:rPr>
        <w:t xml:space="preserve"> </w:t>
      </w:r>
      <w:r w:rsidRPr="00887F6C">
        <w:rPr>
          <w:b/>
          <w:noProof/>
        </w:rPr>
        <w:t>o fuziune sau o redirecționare a uneia sau mai multor acțiuni către o altă/o nouă acțiune</w:t>
      </w:r>
      <w:r w:rsidRPr="00887F6C">
        <w:rPr>
          <w:noProof/>
        </w:rPr>
        <w:t xml:space="preserve"> </w:t>
      </w:r>
    </w:p>
    <w:p w14:paraId="75C174E6" w14:textId="257D10DD" w:rsidR="00264CE9" w:rsidRPr="00887F6C" w:rsidRDefault="004432B5" w:rsidP="004432B5">
      <w:pPr>
        <w:pStyle w:val="ManualHeading2"/>
        <w:rPr>
          <w:bCs/>
          <w:noProof/>
          <w:szCs w:val="24"/>
        </w:rPr>
      </w:pPr>
      <w:bookmarkStart w:id="10" w:name="_Toc514941975"/>
      <w:bookmarkStart w:id="11" w:name="_Toc520485202"/>
      <w:r w:rsidRPr="004432B5">
        <w:t>1.4.</w:t>
      </w:r>
      <w:r w:rsidRPr="004432B5">
        <w:tab/>
      </w:r>
      <w:r w:rsidR="00264CE9" w:rsidRPr="00887F6C">
        <w:rPr>
          <w:noProof/>
        </w:rPr>
        <w:t>Motivele propunerii/inițiativei</w:t>
      </w:r>
      <w:bookmarkEnd w:id="10"/>
      <w:bookmarkEnd w:id="11"/>
      <w:r w:rsidR="00264CE9" w:rsidRPr="00887F6C">
        <w:rPr>
          <w:noProof/>
        </w:rPr>
        <w:t xml:space="preserve"> </w:t>
      </w:r>
    </w:p>
    <w:p w14:paraId="19AEA281" w14:textId="5CB4F738" w:rsidR="00264CE9" w:rsidRPr="00887F6C" w:rsidRDefault="004432B5" w:rsidP="004432B5">
      <w:pPr>
        <w:pStyle w:val="ManualHeading3"/>
        <w:rPr>
          <w:noProof/>
        </w:rPr>
      </w:pPr>
      <w:bookmarkStart w:id="12" w:name="_Toc514941976"/>
      <w:bookmarkStart w:id="13" w:name="_Toc520485203"/>
      <w:r w:rsidRPr="004432B5">
        <w:t>1.4.1.</w:t>
      </w:r>
      <w:r w:rsidRPr="004432B5">
        <w:tab/>
      </w:r>
      <w:r w:rsidR="00264CE9" w:rsidRPr="00887F6C">
        <w:rPr>
          <w:noProof/>
        </w:rPr>
        <w:t>Cerința (cerințele) care trebuie îndeplinită (îndeplinite) pe termen scurt sau lung, inclusiv un calendar detaliat pentru punerea în aplicare a inițiativei</w:t>
      </w:r>
      <w:bookmarkEnd w:id="12"/>
      <w:bookmarkEnd w:id="13"/>
    </w:p>
    <w:p w14:paraId="5B9CE795"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Obiectivul principal al inițiativei este de a sprijini cercetarea și inovarea colaborativă care vor aborda unele provocări determinate de schimbările climatice, de creșterea populației și de urbanizare și vor contribui la dezvoltarea sustenabilă în regiunea mediteraneeană. Inițiativa va oferi soluții inovatoare în domeniul gestionării apei, al agriculturii și al sistemelor alimentare care să contribuie la sănătatea și bunăstarea populației și va contribui la prevenirea conflictelor societale și a migrației în masă în sudul Mediteranei. </w:t>
      </w:r>
    </w:p>
    <w:p w14:paraId="2D6D2C3A"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Inițiativa va extinde funcționarea activă a parteneriatului PRIMA existent, instituit în temeiul articolului 185 din TFUE prin Decizia 2017/1324 (actul de bază al PRIMA). Actuala perioadă de funcționare a parteneriatului PRIMA este 2018 – 2024, iar contribuția Uniunii este asigurată prin programul Orizont 2020. Prezenta inițiativă va extinde perioada de funcționare activă până în 2027 și va aduce parteneriatul PRIMA în sincronizare cu cadrul financiar multianual (CFM) al Uniunii și cu ciclurile de programare aliniate la CFM ale programelor de C&amp;I.</w:t>
      </w:r>
    </w:p>
    <w:p w14:paraId="50467287"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Extinderea parteneriatului PRIMA va necesita contribuții financiare suplimentare din partea Uniunii și a statelor participante. Se propune ca PRIMA să continue să funcționeze în aceleași domenii tematice (gestionarea apei, agricultură și sisteme alimentare) la același nivel de activități, cu un buget anual de aproximativ 70 de milioane EUR. Contribuția anuală a Uniunii se ridică la aproximativ 35 de milioane </w:t>
      </w:r>
      <w:r w:rsidRPr="00887F6C">
        <w:rPr>
          <w:noProof/>
        </w:rPr>
        <w:lastRenderedPageBreak/>
        <w:t xml:space="preserve">EUR, iar statele participante contribuie financiar cu cel puțin aceeași sumă. Statele participante contribuie, în plus, cu contribuții suplimentare în natură (acțiuni de C&amp;I programate și finanțate la nivel național). </w:t>
      </w:r>
    </w:p>
    <w:p w14:paraId="39A48D7E"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Contribuția financiară suplimentară din partea Uniunii, în valoare de 105 de milioane EUR pentru perioada 2025 – 2027, va proveni din programul Orizont Europa, pilonul II „Provocări globale și competitivitate industrială europeană”, clusterul (vi) Alimente, bioeconomie, resurse naturale, agricultură și mediu. Inițiativa respectă noile cerințe privind parteneriatele instituționale introduse prin Regulamentul privind programul Orizont Europa (articolul 10, anexa III și anexa VI), adică, participarea statelor membre depășește minimul de 40 %, PRIMA se încadrează în domeniile prioritare pentru parteneriatul instituțional, iar statele participante și-au exprimat angajamentele pe termen lung față de parteneriat. </w:t>
      </w:r>
    </w:p>
    <w:p w14:paraId="78D4FC8D"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Întrucât noua contribuție financiară a Uniunii provine dintr-un program diferit, actul de bază al PRIMA trebuie adaptat la noul cadru de reglementare. Prezenta inițiativă va modifica Decizia 2017/1324, în special pentru a o adapta la Regulamentul (UE) 2021/695 și la Regulamentul (UE, Euratom) 2018/1046. Noul cadru de reglementare trebuie să se reflecte și în acordurile internaționale cu 5 state participante care nu sunt state membre și nici nu sunt asociate la programul Orizont Europa (Algeria, Egipt, Iordania, Liban și Maroc). </w:t>
      </w:r>
    </w:p>
    <w:p w14:paraId="1DE9AF00"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Adoptarea deciziei de modificare a actului de bază al PRIMA este prevăzută pentru 2024. În consecință, se vor încheia un nou acord-cadru financiar și un acord de contribuție cu actuala structură dedicată de punere în aplicare a PRIMA (PRIMA-IS). Contribuția Uniunii va fi pusă în aplicare prin trei angajamente anuale pe baza programelor anuale de lucru ale PRIMA în 2025, 2026 și 2027. </w:t>
      </w:r>
    </w:p>
    <w:p w14:paraId="28EB5D8E"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Perioada de punere în aplicare a acțiunilor indirecte va fi extinsă până în 2031.</w:t>
      </w:r>
    </w:p>
    <w:p w14:paraId="6870E028" w14:textId="79F8E6A3" w:rsidR="00264CE9" w:rsidRPr="00887F6C" w:rsidRDefault="004432B5" w:rsidP="004432B5">
      <w:pPr>
        <w:pStyle w:val="ManualHeading3"/>
        <w:rPr>
          <w:noProof/>
        </w:rPr>
      </w:pPr>
      <w:bookmarkStart w:id="14" w:name="_Toc514941977"/>
      <w:bookmarkStart w:id="15" w:name="_Toc520485204"/>
      <w:r w:rsidRPr="004432B5">
        <w:t>1.4.2.</w:t>
      </w:r>
      <w:r w:rsidRPr="004432B5">
        <w:tab/>
      </w:r>
      <w:r w:rsidR="00264CE9" w:rsidRPr="00887F6C">
        <w:rPr>
          <w:noProof/>
        </w:rPr>
        <w:t>Valoarea adăugată a intervenției Uniunii (ea poate rezulta din diferiți factori, de exemplu mai buna coordonare, securitatea juridică, o mai mare eficacitate sau complementaritate). În sensul prezentului punct, „valoarea adăugată a intervenției Uniunii” este valoarea care rezultă din intervenția Uniunii care depășește valoarea care ar fi fost obținută dacă ar fi acționat doar statele membre.</w:t>
      </w:r>
      <w:bookmarkEnd w:id="14"/>
      <w:bookmarkEnd w:id="15"/>
    </w:p>
    <w:p w14:paraId="4D545AFD"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Se preconizează că articolul 185 al parteneriatului PRIMA va avea impacturi în ceea ce privește excelența activităților de colaborare în domeniul C&amp;I, focalizarea și alinierea sistemelor naționale de C&amp;I și diplomația științifică. Formatul instituțional și participarea UE la parteneriat au impacturi care nu ar putea fi obținute prin alte forme de colaborare la nivel național și printr-un format neinstituționalizat. </w:t>
      </w:r>
    </w:p>
    <w:p w14:paraId="38336A70"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PRIMA a demonstrat un impact semnificativ ca levier financiar, a influențat strategiile naționale de C&amp;I, astfel încât acestea să fie aliniate și complementare cu agenda strategică a PRIMA în materie de C&amp;I și a declanșat o reformă a procedurilor de finanțare a C&amp;I în statele participante în care procedurile naționale de finanțare au împiedicat colaborarea științifică. Formatul instituționalizat a permis participarea țărilor neasociate în condiții de egalitate cu alte state participante, ceea ce nu ar fi posibil în parteneriate neinstituționalizate și fără participarea UE.</w:t>
      </w:r>
    </w:p>
    <w:p w14:paraId="27870BF4"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Valoarea adăugată a UE a fost confirmată de raportul de evaluare intermediară realizat în 2022 de evaluatori externi. </w:t>
      </w:r>
    </w:p>
    <w:p w14:paraId="02E24B23" w14:textId="7AA729BB" w:rsidR="00264CE9" w:rsidRPr="00887F6C" w:rsidRDefault="004432B5" w:rsidP="004432B5">
      <w:pPr>
        <w:pStyle w:val="ManualHeading3"/>
        <w:rPr>
          <w:noProof/>
        </w:rPr>
      </w:pPr>
      <w:bookmarkStart w:id="16" w:name="_Toc514941978"/>
      <w:bookmarkStart w:id="17" w:name="_Toc520485205"/>
      <w:r w:rsidRPr="004432B5">
        <w:lastRenderedPageBreak/>
        <w:t>1.4.3.</w:t>
      </w:r>
      <w:r w:rsidRPr="004432B5">
        <w:tab/>
      </w:r>
      <w:r w:rsidR="00264CE9" w:rsidRPr="00887F6C">
        <w:rPr>
          <w:noProof/>
        </w:rPr>
        <w:t>Învățăminte desprinse din experiențele anterioare similare</w:t>
      </w:r>
      <w:bookmarkEnd w:id="16"/>
      <w:bookmarkEnd w:id="17"/>
    </w:p>
    <w:p w14:paraId="3E6939BC"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Parteneriatul PRIMA a demonstrat în primii ani de funcționare că este un instrument eficace pentru colaborarea științifică internațională și diplomația științifică. Raportul de evaluare intermediară a concluzionat că el își atinge obiectivele și că valoarea adăugată a UE este semnificativă. Multe state participante, atât state membre ale UE, cât și țări din afara UE, consideră PRIMA drept un model de colaborare în domeniul C&amp;I care ar putea fi aplicat în viitor în alte domenii tematice, astfel cum s-au exprimat în cadrul reuniunii ministeriale a UpM din 2022, în scrisori către Comisie și în declarații în cadrul reuniunii Consiliului Competitivitate din decembrie 2022. </w:t>
      </w:r>
    </w:p>
    <w:p w14:paraId="65D8A7BB" w14:textId="67F344E6" w:rsidR="00264CE9" w:rsidRPr="00887F6C" w:rsidRDefault="004432B5" w:rsidP="004432B5">
      <w:pPr>
        <w:pStyle w:val="ManualHeading3"/>
        <w:rPr>
          <w:noProof/>
        </w:rPr>
      </w:pPr>
      <w:bookmarkStart w:id="18" w:name="_Toc514941979"/>
      <w:bookmarkStart w:id="19" w:name="_Toc520485206"/>
      <w:r w:rsidRPr="004432B5">
        <w:t>1.4.4.</w:t>
      </w:r>
      <w:r w:rsidRPr="004432B5">
        <w:tab/>
      </w:r>
      <w:r w:rsidR="00264CE9" w:rsidRPr="00887F6C">
        <w:rPr>
          <w:noProof/>
        </w:rPr>
        <w:t>Compatibilitatea și posibila sinergie cu alte instrumente corespunzătoare</w:t>
      </w:r>
      <w:bookmarkEnd w:id="18"/>
      <w:bookmarkEnd w:id="19"/>
    </w:p>
    <w:p w14:paraId="43A797E3"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La nivel strategic, parteneriatul PRIMA este compatibil cu prioritățile de politică ale UE, în mod deosebit cu Pactul verde, cu Strategia de adaptare la schimbările climatice, cu Strategia „De la fermă la consumator”, cu Strategia în domeniul bioeconomiei, cu Planul de acțiune pentru economia circulară, cu PAC și cu politicile în domeniul apei.</w:t>
      </w:r>
    </w:p>
    <w:p w14:paraId="0F7AA8F9"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La nivel de programare, planurile de lucru anuale ale PRIMA sunt bine coordonate cu alte instrumente în materie de C&amp;I relevante, cum ar fi Misiunea pentru protecția solului, Misiunea de adaptare la schimbările climatice sau parteneriatul „Apă pentru toți”. PRIMA este complementar Inițiativei mediteraneene din cadrul programului de lucru Orizont Europa pentru perioada 2023 – 2024.</w:t>
      </w:r>
    </w:p>
    <w:p w14:paraId="6FB11333"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În perioada de extindere 2025 – 2027, documentele de programare ale PRIMA vor fi corelate cu instrumentele și inițiativele existente, precum și cu noile inițiative relevante care decurg din Planul strategic Orizont Europa pentru perioada 2025 – 2027.</w:t>
      </w:r>
    </w:p>
    <w:p w14:paraId="773A74F3" w14:textId="77777777" w:rsidR="00264CE9" w:rsidRPr="00887F6C" w:rsidRDefault="00264CE9" w:rsidP="000727A1">
      <w:pPr>
        <w:pStyle w:val="Text1"/>
        <w:rPr>
          <w:noProof/>
        </w:rPr>
      </w:pPr>
    </w:p>
    <w:p w14:paraId="18A57E00" w14:textId="0F7072DD" w:rsidR="00264CE9" w:rsidRPr="00887F6C" w:rsidRDefault="004432B5" w:rsidP="004432B5">
      <w:pPr>
        <w:pStyle w:val="ManualHeading2"/>
        <w:rPr>
          <w:bCs/>
          <w:noProof/>
          <w:szCs w:val="24"/>
        </w:rPr>
      </w:pPr>
      <w:bookmarkStart w:id="20" w:name="_Toc514941980"/>
      <w:bookmarkStart w:id="21" w:name="_Toc520485207"/>
      <w:r w:rsidRPr="004432B5">
        <w:t>1.5.</w:t>
      </w:r>
      <w:r w:rsidRPr="004432B5">
        <w:tab/>
      </w:r>
      <w:r w:rsidR="00264CE9" w:rsidRPr="00887F6C">
        <w:rPr>
          <w:noProof/>
        </w:rPr>
        <w:t>Durata și impactul financiar</w:t>
      </w:r>
      <w:bookmarkEnd w:id="20"/>
      <w:bookmarkEnd w:id="21"/>
      <w:r w:rsidR="00264CE9" w:rsidRPr="00887F6C">
        <w:rPr>
          <w:noProof/>
        </w:rPr>
        <w:t xml:space="preserve"> </w:t>
      </w:r>
    </w:p>
    <w:p w14:paraId="1FDF72E2" w14:textId="77777777" w:rsidR="00264CE9" w:rsidRPr="00887F6C" w:rsidRDefault="00264CE9" w:rsidP="000727A1">
      <w:pPr>
        <w:pStyle w:val="Text1"/>
        <w:rPr>
          <w:noProof/>
        </w:rPr>
      </w:pPr>
      <w:r w:rsidRPr="00887F6C">
        <w:rPr>
          <w:rFonts w:ascii="Wingdings" w:hAnsi="Wingdings"/>
          <w:noProof/>
        </w:rPr>
        <w:t></w:t>
      </w:r>
      <w:r w:rsidRPr="00887F6C">
        <w:rPr>
          <w:b/>
          <w:i/>
          <w:noProof/>
        </w:rPr>
        <w:t xml:space="preserve"> </w:t>
      </w:r>
      <w:r w:rsidRPr="00887F6C">
        <w:rPr>
          <w:b/>
          <w:noProof/>
        </w:rPr>
        <w:t xml:space="preserve">durată limitată </w:t>
      </w:r>
    </w:p>
    <w:p w14:paraId="5A471A5F" w14:textId="77777777" w:rsidR="00264CE9" w:rsidRPr="00887F6C" w:rsidRDefault="00264CE9" w:rsidP="000727A1">
      <w:pPr>
        <w:pStyle w:val="ListDash2"/>
        <w:rPr>
          <w:noProof/>
        </w:rPr>
      </w:pPr>
      <w:r w:rsidRPr="00887F6C">
        <w:rPr>
          <w:rFonts w:ascii="Wingdings" w:hAnsi="Wingdings"/>
          <w:noProof/>
        </w:rPr>
        <w:t></w:t>
      </w:r>
      <w:r w:rsidRPr="00887F6C">
        <w:rPr>
          <w:noProof/>
        </w:rPr>
        <w:tab/>
        <w:t xml:space="preserve">în vigoare de la [01/01]2025 până la [31/12]2031 </w:t>
      </w:r>
    </w:p>
    <w:p w14:paraId="74CB9948" w14:textId="77777777" w:rsidR="00264CE9" w:rsidRPr="00887F6C" w:rsidRDefault="00264CE9" w:rsidP="000727A1">
      <w:pPr>
        <w:pStyle w:val="ListDash2"/>
        <w:rPr>
          <w:noProof/>
        </w:rPr>
      </w:pPr>
      <w:r w:rsidRPr="00887F6C">
        <w:rPr>
          <w:rFonts w:ascii="Wingdings" w:hAnsi="Wingdings"/>
          <w:noProof/>
        </w:rPr>
        <w:t></w:t>
      </w:r>
      <w:r w:rsidRPr="00887F6C">
        <w:rPr>
          <w:noProof/>
        </w:rPr>
        <w:tab/>
        <w:t xml:space="preserve">Impact financiar din 2025 până în 2027 pentru creditele de angajament și din 2025 până în 2031 pentru creditele de plată. </w:t>
      </w:r>
    </w:p>
    <w:p w14:paraId="41C45924" w14:textId="77777777" w:rsidR="00264CE9" w:rsidRPr="00887F6C" w:rsidRDefault="00264CE9" w:rsidP="000727A1">
      <w:pPr>
        <w:pStyle w:val="Text1"/>
        <w:rPr>
          <w:noProof/>
        </w:rPr>
      </w:pPr>
      <w:r w:rsidRPr="00887F6C">
        <w:rPr>
          <w:rFonts w:ascii="Wingdings" w:hAnsi="Wingdings"/>
          <w:noProof/>
        </w:rPr>
        <w:t></w:t>
      </w:r>
      <w:r w:rsidRPr="00887F6C">
        <w:rPr>
          <w:b/>
          <w:i/>
          <w:noProof/>
        </w:rPr>
        <w:t xml:space="preserve"> </w:t>
      </w:r>
      <w:r w:rsidRPr="00887F6C">
        <w:rPr>
          <w:b/>
          <w:noProof/>
        </w:rPr>
        <w:t>durată nelimitată</w:t>
      </w:r>
    </w:p>
    <w:p w14:paraId="249C88D4" w14:textId="77777777" w:rsidR="00264CE9" w:rsidRPr="00887F6C" w:rsidRDefault="00264CE9" w:rsidP="000727A1">
      <w:pPr>
        <w:pStyle w:val="ListDash1"/>
        <w:rPr>
          <w:noProof/>
        </w:rPr>
      </w:pPr>
      <w:r w:rsidRPr="00887F6C">
        <w:rPr>
          <w:noProof/>
        </w:rPr>
        <w:t>Punere în aplicare cu o perioadă de creștere în intensitate din YYYY până în YYYY,</w:t>
      </w:r>
    </w:p>
    <w:p w14:paraId="243A032F" w14:textId="77777777" w:rsidR="00264CE9" w:rsidRPr="00887F6C" w:rsidRDefault="00264CE9" w:rsidP="000727A1">
      <w:pPr>
        <w:pStyle w:val="ListDash1"/>
        <w:rPr>
          <w:noProof/>
        </w:rPr>
      </w:pPr>
      <w:r w:rsidRPr="00887F6C">
        <w:rPr>
          <w:noProof/>
        </w:rPr>
        <w:t>urmată de o perioadă de funcționare la capacitate maximă.</w:t>
      </w:r>
    </w:p>
    <w:p w14:paraId="6098F791" w14:textId="35A82A6D" w:rsidR="007010A9" w:rsidRPr="00887F6C" w:rsidRDefault="004432B5" w:rsidP="004432B5">
      <w:pPr>
        <w:pStyle w:val="ManualHeading2"/>
        <w:rPr>
          <w:noProof/>
          <w:szCs w:val="24"/>
        </w:rPr>
      </w:pPr>
      <w:bookmarkStart w:id="22" w:name="_Toc514941981"/>
      <w:bookmarkStart w:id="23" w:name="_Toc520485208"/>
      <w:r w:rsidRPr="004432B5">
        <w:t>1.6.</w:t>
      </w:r>
      <w:r w:rsidRPr="004432B5">
        <w:tab/>
      </w:r>
      <w:r w:rsidR="007010A9" w:rsidRPr="00887F6C">
        <w:rPr>
          <w:noProof/>
        </w:rPr>
        <w:t>Modul (modurile) de gestiune preconizat(e)</w:t>
      </w:r>
      <w:r w:rsidR="007010A9" w:rsidRPr="00887F6C">
        <w:rPr>
          <w:rStyle w:val="Referinnotdesubsol"/>
          <w:noProof/>
        </w:rPr>
        <w:footnoteReference w:id="30"/>
      </w:r>
      <w:r w:rsidR="007010A9" w:rsidRPr="00887F6C">
        <w:rPr>
          <w:noProof/>
          <w:vertAlign w:val="superscript"/>
        </w:rPr>
        <w:t xml:space="preserve"> </w:t>
      </w:r>
    </w:p>
    <w:p w14:paraId="675E592E" w14:textId="77777777" w:rsidR="007010A9" w:rsidRPr="00887F6C" w:rsidRDefault="007010A9" w:rsidP="007010A9">
      <w:pPr>
        <w:ind w:left="850"/>
        <w:rPr>
          <w:noProof/>
        </w:rPr>
      </w:pPr>
      <w:r w:rsidRPr="00887F6C">
        <w:rPr>
          <w:rFonts w:ascii="Wingdings" w:hAnsi="Wingdings"/>
          <w:noProof/>
        </w:rPr>
        <w:t></w:t>
      </w:r>
      <w:r w:rsidRPr="00887F6C">
        <w:rPr>
          <w:i/>
          <w:noProof/>
        </w:rPr>
        <w:t xml:space="preserve"> </w:t>
      </w:r>
      <w:r w:rsidRPr="00887F6C">
        <w:rPr>
          <w:b/>
          <w:bCs/>
          <w:noProof/>
        </w:rPr>
        <w:t>Gestiune directă</w:t>
      </w:r>
      <w:r w:rsidRPr="00887F6C">
        <w:rPr>
          <w:noProof/>
        </w:rPr>
        <w:t xml:space="preserve"> asigurată de Comisie</w:t>
      </w:r>
    </w:p>
    <w:p w14:paraId="29901BF2" w14:textId="77777777" w:rsidR="007010A9" w:rsidRPr="00887F6C" w:rsidRDefault="007010A9" w:rsidP="007010A9">
      <w:pPr>
        <w:tabs>
          <w:tab w:val="num" w:pos="1134"/>
        </w:tabs>
        <w:ind w:left="1134" w:hanging="283"/>
        <w:rPr>
          <w:rFonts w:eastAsia="Times New Roman" w:cs="EUAlbertina"/>
          <w:noProof/>
        </w:rPr>
      </w:pPr>
      <w:r w:rsidRPr="00887F6C">
        <w:rPr>
          <w:rFonts w:ascii="Wingdings" w:hAnsi="Wingdings"/>
          <w:noProof/>
        </w:rPr>
        <w:t></w:t>
      </w:r>
      <w:r w:rsidRPr="00887F6C">
        <w:rPr>
          <w:noProof/>
        </w:rPr>
        <w:t xml:space="preserve"> prin intermediul departamentelor sale, inclusiv al personalului din delegațiile Uniunii; </w:t>
      </w:r>
    </w:p>
    <w:p w14:paraId="188CCB6A"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ab/>
        <w:t xml:space="preserve">prin intermediul agențiilor executive </w:t>
      </w:r>
    </w:p>
    <w:p w14:paraId="6C645355" w14:textId="77777777" w:rsidR="007010A9" w:rsidRPr="00887F6C" w:rsidRDefault="007010A9" w:rsidP="007010A9">
      <w:pPr>
        <w:ind w:left="850"/>
        <w:rPr>
          <w:noProof/>
        </w:rPr>
      </w:pPr>
      <w:r w:rsidRPr="00887F6C">
        <w:rPr>
          <w:rFonts w:ascii="Wingdings" w:hAnsi="Wingdings"/>
          <w:noProof/>
        </w:rPr>
        <w:t></w:t>
      </w:r>
      <w:r w:rsidRPr="00887F6C">
        <w:rPr>
          <w:b/>
          <w:i/>
          <w:noProof/>
        </w:rPr>
        <w:t xml:space="preserve"> </w:t>
      </w:r>
      <w:r w:rsidRPr="00887F6C">
        <w:rPr>
          <w:b/>
          <w:bCs/>
          <w:noProof/>
        </w:rPr>
        <w:t>Gestiune partajată</w:t>
      </w:r>
      <w:r w:rsidRPr="00887F6C">
        <w:rPr>
          <w:noProof/>
        </w:rPr>
        <w:t xml:space="preserve"> cu statele membre </w:t>
      </w:r>
    </w:p>
    <w:p w14:paraId="5FDDDC10" w14:textId="77777777" w:rsidR="007010A9" w:rsidRPr="00887F6C" w:rsidRDefault="007010A9" w:rsidP="007010A9">
      <w:pPr>
        <w:ind w:left="850"/>
        <w:rPr>
          <w:noProof/>
        </w:rPr>
      </w:pPr>
      <w:r w:rsidRPr="00887F6C">
        <w:rPr>
          <w:rFonts w:ascii="Wingdings" w:hAnsi="Wingdings"/>
          <w:noProof/>
        </w:rPr>
        <w:lastRenderedPageBreak/>
        <w:t></w:t>
      </w:r>
      <w:r w:rsidRPr="00887F6C">
        <w:rPr>
          <w:i/>
          <w:noProof/>
        </w:rPr>
        <w:t xml:space="preserve"> </w:t>
      </w:r>
      <w:r w:rsidRPr="00887F6C">
        <w:rPr>
          <w:b/>
          <w:noProof/>
        </w:rPr>
        <w:t>Gestiune indirectă</w:t>
      </w:r>
      <w:r w:rsidRPr="00887F6C">
        <w:rPr>
          <w:noProof/>
        </w:rPr>
        <w:t>, cu delegarea sarcinilor de execuție bugetară:</w:t>
      </w:r>
    </w:p>
    <w:p w14:paraId="5D503923"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țărilor terțe sau organismelor pe care le-au desemnat acestea;</w:t>
      </w:r>
    </w:p>
    <w:p w14:paraId="69ACE00F"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organizațiilor internaționale și agențiilor acestora (a se preciza);</w:t>
      </w:r>
    </w:p>
    <w:p w14:paraId="281C9251"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BEI și Fondului european de investiții;</w:t>
      </w:r>
    </w:p>
    <w:p w14:paraId="6B25F25C"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organismelor menționate la articolele 70 și 71 din Regulamentul financiar;</w:t>
      </w:r>
    </w:p>
    <w:p w14:paraId="29CF9175"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organismelor de drept public;</w:t>
      </w:r>
    </w:p>
    <w:p w14:paraId="1B0C0DD9"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organismelor de drept privat cu misiune de serviciu public, cu condiția să prezinte garanții financiare adecvate;</w:t>
      </w:r>
    </w:p>
    <w:p w14:paraId="387BF73A"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organismelor de drept privat dintr-un stat membru care sunt responsabile cu punerea în aplicare a unui parteneriat public-privat și care prezintă garanții financiare adecvate;</w:t>
      </w:r>
    </w:p>
    <w:p w14:paraId="06C84B28" w14:textId="77777777" w:rsidR="007010A9" w:rsidRPr="00887F6C" w:rsidRDefault="007010A9" w:rsidP="007010A9">
      <w:pPr>
        <w:tabs>
          <w:tab w:val="num" w:pos="1134"/>
        </w:tabs>
        <w:ind w:left="1134" w:hanging="283"/>
        <w:rPr>
          <w:rFonts w:eastAsia="Times New Roman"/>
          <w:noProof/>
        </w:rPr>
      </w:pPr>
      <w:r w:rsidRPr="00887F6C">
        <w:rPr>
          <w:rFonts w:ascii="Wingdings" w:hAnsi="Wingdings"/>
          <w:noProof/>
        </w:rPr>
        <w:t></w:t>
      </w:r>
      <w:r w:rsidRPr="00887F6C">
        <w:rPr>
          <w:noProof/>
        </w:rPr>
        <w:t xml:space="preserve"> persoanelor cărora li se încredințează executarea unor acțiuni specifice în cadrul PESC, în temeiul titlului V din TUE, și care sunt identificate în actul de bază relevant.</w:t>
      </w:r>
    </w:p>
    <w:p w14:paraId="4CF80443" w14:textId="77777777" w:rsidR="007010A9" w:rsidRPr="00887F6C" w:rsidRDefault="007010A9" w:rsidP="007010A9">
      <w:pPr>
        <w:tabs>
          <w:tab w:val="num" w:pos="1134"/>
        </w:tabs>
        <w:ind w:left="1134" w:hanging="283"/>
        <w:rPr>
          <w:rFonts w:eastAsia="Times New Roman"/>
          <w:i/>
          <w:noProof/>
          <w:sz w:val="18"/>
          <w:u w:val="single"/>
        </w:rPr>
      </w:pPr>
      <w:r w:rsidRPr="00887F6C">
        <w:rPr>
          <w:i/>
          <w:noProof/>
          <w:sz w:val="18"/>
        </w:rPr>
        <w:t>Dacă se indică mai multe moduri de gestiune, a se furniza detalii suplimentare în secțiunea „Observații”.</w:t>
      </w:r>
    </w:p>
    <w:p w14:paraId="61C86A29" w14:textId="77777777" w:rsidR="007010A9" w:rsidRPr="00887F6C" w:rsidRDefault="007010A9" w:rsidP="007010A9">
      <w:pPr>
        <w:rPr>
          <w:noProof/>
        </w:rPr>
      </w:pPr>
      <w:r w:rsidRPr="00887F6C">
        <w:rPr>
          <w:noProof/>
        </w:rPr>
        <w:t>Observații</w:t>
      </w:r>
    </w:p>
    <w:p w14:paraId="609D8F58" w14:textId="77777777" w:rsidR="007010A9" w:rsidRPr="00887F6C" w:rsidRDefault="007010A9" w:rsidP="007010A9">
      <w:pPr>
        <w:pBdr>
          <w:top w:val="single" w:sz="4" w:space="1" w:color="auto"/>
          <w:left w:val="single" w:sz="4" w:space="4" w:color="auto"/>
          <w:bottom w:val="single" w:sz="4" w:space="1" w:color="auto"/>
          <w:right w:val="single" w:sz="4" w:space="4" w:color="auto"/>
        </w:pBdr>
        <w:rPr>
          <w:noProof/>
        </w:rPr>
      </w:pPr>
      <w:r w:rsidRPr="00887F6C">
        <w:rPr>
          <w:noProof/>
        </w:rPr>
        <w:t xml:space="preserve">Structura dedicată de punere în aplicare a PRIMA (PRIMA-IS) este o fundație reglementată de legislația spaniolă și este condusă de Consiliul director care reprezintă statele participante. Comisia Europeană este observator în cadrul Consiliului director. </w:t>
      </w:r>
    </w:p>
    <w:p w14:paraId="179104C1" w14:textId="77777777" w:rsidR="007010A9" w:rsidRPr="00887F6C" w:rsidRDefault="007010A9" w:rsidP="007010A9">
      <w:pPr>
        <w:pBdr>
          <w:top w:val="single" w:sz="4" w:space="1" w:color="auto"/>
          <w:left w:val="single" w:sz="4" w:space="4" w:color="auto"/>
          <w:bottom w:val="single" w:sz="4" w:space="1" w:color="auto"/>
          <w:right w:val="single" w:sz="4" w:space="4" w:color="auto"/>
        </w:pBdr>
        <w:rPr>
          <w:noProof/>
        </w:rPr>
      </w:pPr>
      <w:r w:rsidRPr="00887F6C">
        <w:rPr>
          <w:noProof/>
        </w:rPr>
        <w:t>Contribuția financiară a Uniunii la inițiativă va fi furnizată prin intermediul PRIMA-IS. Statele participante au furnizat garanții financiare individuale prin care acceptă în mod colectiv răspunderea financiară pentru orice pierdere financiară pentru UE până la nivelul contribuției financiare a Uniunii. Aceste garanții financiare vor fi reînnoite de către statele participante pentru perioada 2025 – 2027 după adoptarea actului de bază al PRIMA modificat.</w:t>
      </w:r>
    </w:p>
    <w:p w14:paraId="3170152A" w14:textId="1604150C" w:rsidR="007010A9" w:rsidRPr="00887F6C" w:rsidRDefault="004432B5" w:rsidP="004432B5">
      <w:pPr>
        <w:pStyle w:val="ManualHeading1"/>
        <w:rPr>
          <w:noProof/>
          <w:szCs w:val="24"/>
        </w:rPr>
      </w:pPr>
      <w:bookmarkStart w:id="24" w:name="_Toc514941982"/>
      <w:bookmarkStart w:id="25" w:name="_Toc520485209"/>
      <w:bookmarkEnd w:id="22"/>
      <w:bookmarkEnd w:id="23"/>
      <w:r w:rsidRPr="004432B5">
        <w:t>2.</w:t>
      </w:r>
      <w:r w:rsidRPr="004432B5">
        <w:tab/>
      </w:r>
      <w:r w:rsidR="007010A9" w:rsidRPr="00887F6C">
        <w:rPr>
          <w:noProof/>
        </w:rPr>
        <w:t>MĂSURI DE GESTIUNE</w:t>
      </w:r>
      <w:bookmarkEnd w:id="24"/>
      <w:bookmarkEnd w:id="25"/>
      <w:r w:rsidR="007010A9" w:rsidRPr="00887F6C">
        <w:rPr>
          <w:noProof/>
        </w:rPr>
        <w:t xml:space="preserve"> </w:t>
      </w:r>
    </w:p>
    <w:p w14:paraId="33E8B6D0" w14:textId="6C15A912" w:rsidR="007010A9" w:rsidRPr="00887F6C" w:rsidRDefault="004432B5" w:rsidP="004432B5">
      <w:pPr>
        <w:pStyle w:val="ManualHeading2"/>
        <w:rPr>
          <w:noProof/>
        </w:rPr>
      </w:pPr>
      <w:bookmarkStart w:id="26" w:name="_Toc514941983"/>
      <w:bookmarkStart w:id="27" w:name="_Toc520485210"/>
      <w:r w:rsidRPr="004432B5">
        <w:t>2.1.</w:t>
      </w:r>
      <w:r w:rsidRPr="004432B5">
        <w:tab/>
      </w:r>
      <w:r w:rsidR="007010A9" w:rsidRPr="00887F6C">
        <w:rPr>
          <w:noProof/>
        </w:rPr>
        <w:t>Dispoziții în materie de monitorizare și de raportare</w:t>
      </w:r>
      <w:bookmarkEnd w:id="26"/>
      <w:bookmarkEnd w:id="27"/>
      <w:r w:rsidR="007010A9" w:rsidRPr="00887F6C">
        <w:rPr>
          <w:noProof/>
        </w:rPr>
        <w:t xml:space="preserve"> </w:t>
      </w:r>
    </w:p>
    <w:p w14:paraId="01BA1924" w14:textId="77777777" w:rsidR="007010A9" w:rsidRPr="00887F6C" w:rsidRDefault="007010A9" w:rsidP="007010A9">
      <w:pPr>
        <w:pStyle w:val="Text1"/>
        <w:pBdr>
          <w:top w:val="single" w:sz="4" w:space="1" w:color="auto"/>
          <w:left w:val="single" w:sz="4" w:space="0" w:color="auto"/>
          <w:bottom w:val="single" w:sz="4" w:space="1" w:color="auto"/>
          <w:right w:val="single" w:sz="4" w:space="4" w:color="auto"/>
        </w:pBdr>
        <w:ind w:left="794"/>
        <w:rPr>
          <w:noProof/>
        </w:rPr>
      </w:pPr>
      <w:r w:rsidRPr="00887F6C">
        <w:rPr>
          <w:noProof/>
        </w:rPr>
        <w:t xml:space="preserve">Actul de bază al PRIMA modificat va alinia normele de monitorizare și raportare la cerințele Regulamentului (UE) 2021/695 și ale Regulamentului (UE, Euratom) 2018/1046. </w:t>
      </w:r>
    </w:p>
    <w:p w14:paraId="5B6329CE" w14:textId="77777777" w:rsidR="007010A9" w:rsidRPr="00887F6C" w:rsidRDefault="007010A9" w:rsidP="007010A9">
      <w:pPr>
        <w:pStyle w:val="Text1"/>
        <w:pBdr>
          <w:top w:val="single" w:sz="4" w:space="1" w:color="auto"/>
          <w:left w:val="single" w:sz="4" w:space="0" w:color="auto"/>
          <w:bottom w:val="single" w:sz="4" w:space="1" w:color="auto"/>
          <w:right w:val="single" w:sz="4" w:space="4" w:color="auto"/>
        </w:pBdr>
        <w:ind w:left="794"/>
        <w:rPr>
          <w:noProof/>
        </w:rPr>
      </w:pPr>
      <w:r w:rsidRPr="00887F6C">
        <w:rPr>
          <w:noProof/>
        </w:rPr>
        <w:t>PRIMA-IS va raporta anual cu privire la activitățile și la îndeplinirea obligațiilor statelor participante.</w:t>
      </w:r>
    </w:p>
    <w:p w14:paraId="0647B8BB" w14:textId="77777777" w:rsidR="007010A9" w:rsidRPr="00887F6C" w:rsidRDefault="007010A9" w:rsidP="007010A9">
      <w:pPr>
        <w:pStyle w:val="Text1"/>
        <w:pBdr>
          <w:top w:val="single" w:sz="4" w:space="1" w:color="auto"/>
          <w:left w:val="single" w:sz="4" w:space="0" w:color="auto"/>
          <w:bottom w:val="single" w:sz="4" w:space="1" w:color="auto"/>
          <w:right w:val="single" w:sz="4" w:space="4" w:color="auto"/>
        </w:pBdr>
        <w:ind w:left="794"/>
        <w:rPr>
          <w:noProof/>
        </w:rPr>
      </w:pPr>
      <w:r w:rsidRPr="00887F6C">
        <w:rPr>
          <w:noProof/>
        </w:rPr>
        <w:t>Comisia va efectua o evaluare intermediară suplimentară în 2025 și evaluarea finală în 2030. Rezultatele acestor evaluări vor fi prezentate Parlamentului European și Consiliului.</w:t>
      </w:r>
    </w:p>
    <w:p w14:paraId="08868FD7" w14:textId="4706D491" w:rsidR="007010A9" w:rsidRPr="00887F6C" w:rsidRDefault="004432B5" w:rsidP="004432B5">
      <w:pPr>
        <w:pStyle w:val="ManualHeading2"/>
        <w:rPr>
          <w:bCs/>
          <w:noProof/>
          <w:szCs w:val="24"/>
        </w:rPr>
      </w:pPr>
      <w:bookmarkStart w:id="28" w:name="_Toc514941984"/>
      <w:bookmarkStart w:id="29" w:name="_Toc520485211"/>
      <w:r w:rsidRPr="004432B5">
        <w:t>2.2.</w:t>
      </w:r>
      <w:r w:rsidRPr="004432B5">
        <w:tab/>
      </w:r>
      <w:r w:rsidR="007010A9" w:rsidRPr="00887F6C">
        <w:rPr>
          <w:noProof/>
        </w:rPr>
        <w:t>Sistemul (sistemele) de gestiune și de control</w:t>
      </w:r>
      <w:bookmarkEnd w:id="28"/>
      <w:bookmarkEnd w:id="29"/>
      <w:r w:rsidR="007010A9" w:rsidRPr="00887F6C">
        <w:rPr>
          <w:noProof/>
        </w:rPr>
        <w:t xml:space="preserve"> </w:t>
      </w:r>
    </w:p>
    <w:p w14:paraId="2D48DD89" w14:textId="633A1A10" w:rsidR="007010A9" w:rsidRPr="00887F6C" w:rsidRDefault="004432B5" w:rsidP="004432B5">
      <w:pPr>
        <w:pStyle w:val="ManualHeading3"/>
        <w:rPr>
          <w:noProof/>
        </w:rPr>
      </w:pPr>
      <w:bookmarkStart w:id="30" w:name="_Toc514941985"/>
      <w:bookmarkStart w:id="31" w:name="_Toc520485212"/>
      <w:r w:rsidRPr="004432B5">
        <w:t>2.2.1.</w:t>
      </w:r>
      <w:r w:rsidRPr="004432B5">
        <w:tab/>
      </w:r>
      <w:r w:rsidR="007010A9" w:rsidRPr="00887F6C">
        <w:rPr>
          <w:noProof/>
        </w:rPr>
        <w:t>Justificarea modului (modurilor) de gestiune, a mecanismului (mecanismelor) de punere în aplicare a finanțării, a modalităților de plată și a strategiei de control propuse</w:t>
      </w:r>
      <w:bookmarkEnd w:id="30"/>
      <w:bookmarkEnd w:id="31"/>
    </w:p>
    <w:p w14:paraId="5F678D9C"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Parteneriatul PRIMA în perioada de extindere 2025 – 2027 va continua să fie pus în aplicare prin gestiune indirectă. Acest mod este justificat ca mod de punere în aplicare </w:t>
      </w:r>
      <w:r w:rsidRPr="00887F6C">
        <w:rPr>
          <w:noProof/>
        </w:rPr>
        <w:lastRenderedPageBreak/>
        <w:t xml:space="preserve">pentru parteneriatele public-public cu contribuții financiare și în natură din partea statelor participante. </w:t>
      </w:r>
    </w:p>
    <w:p w14:paraId="22B08665"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Bugetul PRIMA va fi pus în aplicare de PRIMA-IS existentă. Înainte de încheierea noului Acord de transfer de fonduri, Comisia va verifica dacă PRIMA-IS continuă să îndeplinească cerințele Regulamentului (UE, Euratom) 2018/1046 privind managementul financiar și cadrul de control intern și ce modificări trebuie efectuate actualului Acord de delegare. </w:t>
      </w:r>
    </w:p>
    <w:p w14:paraId="692099AB"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Bugetele anuale vor fi puse în aplicare prin intermediul unor planuri de lucru anuale care vor fi examinate și aprobate de Comisie. </w:t>
      </w:r>
    </w:p>
    <w:p w14:paraId="22B4322E"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Comisia va asigura faptul că normele aplicabile PRIMA respectă pe deplin cerințele Regulamentului financiar.</w:t>
      </w:r>
    </w:p>
    <w:p w14:paraId="75F5C841"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Măsurile de monitorizare, inclusiv prin supravegherea de către Uniune a guvernanței Parteneriatului, precum și măsurile de raportare, vor asigura faptul că serviciile Comisiei pot îndeplini cerințele privind responsabilitatea, atât în fața Colegiului, cât și a autorității bugetare.</w:t>
      </w:r>
    </w:p>
    <w:p w14:paraId="711052A2" w14:textId="77777777" w:rsidR="007010A9" w:rsidRPr="00887F6C" w:rsidRDefault="007010A9" w:rsidP="007010A9">
      <w:pPr>
        <w:pStyle w:val="Text1"/>
        <w:pBdr>
          <w:top w:val="single" w:sz="4" w:space="1" w:color="auto"/>
          <w:left w:val="single" w:sz="4" w:space="4" w:color="auto"/>
          <w:bottom w:val="single" w:sz="4" w:space="1" w:color="auto"/>
          <w:right w:val="single" w:sz="4" w:space="4" w:color="auto"/>
        </w:pBdr>
        <w:rPr>
          <w:noProof/>
        </w:rPr>
      </w:pPr>
      <w:r w:rsidRPr="00887F6C">
        <w:rPr>
          <w:noProof/>
        </w:rPr>
        <w:t>Cadrul de control intern al PRIMA-IS pentru punerea în aplicare a PRIMA se bazează pe:</w:t>
      </w:r>
    </w:p>
    <w:p w14:paraId="1A3EF5C8"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punerea în aplicare a standardelor de control intern care oferă garanții cel puțin echivalente cu cele ale Comisiei;</w:t>
      </w:r>
    </w:p>
    <w:p w14:paraId="7C67C6E7"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procedurile de selectare a celor mai bune proiecte prin intermediul unei evaluări independente și încheierea de acorduri de grant;</w:t>
      </w:r>
    </w:p>
    <w:p w14:paraId="34469689"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gestionarea proiectelor și a contractelor pe întreaga durată a fiecărui proiect;</w:t>
      </w:r>
    </w:p>
    <w:p w14:paraId="1309E11C"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 xml:space="preserve">controale </w:t>
      </w:r>
      <w:r w:rsidRPr="00887F6C">
        <w:rPr>
          <w:i/>
          <w:iCs/>
          <w:noProof/>
        </w:rPr>
        <w:t>ex ante</w:t>
      </w:r>
      <w:r w:rsidRPr="00887F6C">
        <w:rPr>
          <w:noProof/>
        </w:rPr>
        <w:t xml:space="preserve"> ale cererilor de plată, inclusiv primirea de certificate de audit și certificarea </w:t>
      </w:r>
      <w:r w:rsidRPr="00887F6C">
        <w:rPr>
          <w:i/>
          <w:iCs/>
          <w:noProof/>
        </w:rPr>
        <w:t>ex ante</w:t>
      </w:r>
      <w:r w:rsidRPr="00887F6C">
        <w:rPr>
          <w:noProof/>
        </w:rPr>
        <w:t xml:space="preserve"> a metodologiilor privind costurile;</w:t>
      </w:r>
    </w:p>
    <w:p w14:paraId="7D0DB2C1"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 xml:space="preserve">audituri </w:t>
      </w:r>
      <w:r w:rsidRPr="00887F6C">
        <w:rPr>
          <w:i/>
          <w:iCs/>
          <w:noProof/>
        </w:rPr>
        <w:t>ex post</w:t>
      </w:r>
      <w:r w:rsidRPr="00887F6C">
        <w:rPr>
          <w:noProof/>
        </w:rPr>
        <w:t xml:space="preserve"> pe un eșantion de cereri de plată, ca parte a auditurilor </w:t>
      </w:r>
      <w:r w:rsidRPr="00887F6C">
        <w:rPr>
          <w:i/>
          <w:iCs/>
          <w:noProof/>
        </w:rPr>
        <w:t>ex post</w:t>
      </w:r>
      <w:r w:rsidRPr="00887F6C">
        <w:rPr>
          <w:noProof/>
        </w:rPr>
        <w:t xml:space="preserve"> din cadrul programului Orizont Europa;</w:t>
      </w:r>
    </w:p>
    <w:p w14:paraId="118F902D" w14:textId="77777777" w:rsidR="007010A9" w:rsidRPr="00887F6C" w:rsidRDefault="007010A9" w:rsidP="007010A9">
      <w:pPr>
        <w:pStyle w:val="Text1"/>
        <w:pBdr>
          <w:top w:val="single" w:sz="4" w:space="1" w:color="auto"/>
          <w:left w:val="single" w:sz="4" w:space="4" w:color="auto"/>
          <w:bottom w:val="single" w:sz="4" w:space="0" w:color="auto"/>
          <w:right w:val="single" w:sz="4" w:space="4" w:color="auto"/>
        </w:pBdr>
        <w:rPr>
          <w:noProof/>
        </w:rPr>
      </w:pPr>
      <w:r w:rsidRPr="00887F6C">
        <w:rPr>
          <w:noProof/>
        </w:rPr>
        <w:t>•</w:t>
      </w:r>
      <w:r w:rsidRPr="00887F6C">
        <w:rPr>
          <w:noProof/>
        </w:rPr>
        <w:tab/>
        <w:t>evaluarea științifică a rezultatelor proiectelor.</w:t>
      </w:r>
    </w:p>
    <w:p w14:paraId="4B9ABDC7" w14:textId="0C0CD453" w:rsidR="007010A9" w:rsidRPr="00887F6C" w:rsidRDefault="004432B5" w:rsidP="004432B5">
      <w:pPr>
        <w:pStyle w:val="ManualHeading3"/>
        <w:rPr>
          <w:noProof/>
        </w:rPr>
      </w:pPr>
      <w:r w:rsidRPr="004432B5">
        <w:t>2.2.2.</w:t>
      </w:r>
      <w:r w:rsidRPr="004432B5">
        <w:tab/>
      </w:r>
      <w:r w:rsidR="007010A9" w:rsidRPr="00887F6C">
        <w:rPr>
          <w:noProof/>
        </w:rPr>
        <w:t>Informații privind riscurile identificate și sistemul (sistemele) de control intern instituit(e) pentru atenuarea lor</w:t>
      </w:r>
    </w:p>
    <w:p w14:paraId="0A6F5450" w14:textId="77777777" w:rsidR="00682664" w:rsidRPr="00887F6C" w:rsidRDefault="00682664" w:rsidP="00682664">
      <w:pPr>
        <w:pStyle w:val="Text1"/>
        <w:pBdr>
          <w:top w:val="single" w:sz="4" w:space="1" w:color="auto"/>
          <w:left w:val="single" w:sz="4" w:space="4" w:color="auto"/>
          <w:bottom w:val="single" w:sz="4" w:space="1" w:color="auto"/>
          <w:right w:val="single" w:sz="4" w:space="4" w:color="auto"/>
        </w:pBdr>
        <w:rPr>
          <w:noProof/>
        </w:rPr>
      </w:pPr>
      <w:r w:rsidRPr="00887F6C">
        <w:rPr>
          <w:noProof/>
        </w:rPr>
        <w:t>(1)</w:t>
      </w:r>
      <w:r w:rsidRPr="00887F6C">
        <w:rPr>
          <w:noProof/>
        </w:rPr>
        <w:tab/>
        <w:t>Capacitatea structurii de punere în aplicare dedicate PRIMA-IS de a gestiona sumele provenite din bugetul Uniunii și de a proteja interesele financiare ale UE.</w:t>
      </w:r>
    </w:p>
    <w:p w14:paraId="6C022C72"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Metoda de control va fi în conformitate cu cerințele prevăzute în regulamentele financiare ale UE, în special aceea potrivit căreia Comisia își rezervă dreptul de a opri definitiv, de a reduce sau de a suspenda contribuția sa în cazul în care punerea în aplicare nu este acceptabilă sau adecvată.</w:t>
      </w:r>
    </w:p>
    <w:p w14:paraId="2A6FF1C6"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(2)</w:t>
      </w:r>
      <w:r w:rsidRPr="00887F6C">
        <w:rPr>
          <w:noProof/>
        </w:rPr>
        <w:tab/>
        <w:t>Capacitatea statelor participante de a-și finanța contribuțiile la program.</w:t>
      </w:r>
    </w:p>
    <w:p w14:paraId="239B0330"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Fondurile UE pot fi eliberate numai pe baza unor dovezi care atestă angajamente financiare anuale naționale și un nivel adecvat al plăților către participanții naționali la proiecte. O altă măsură de siguranță este aceea că finanțarea UE nu poate depăși 50 % din totalul fondurilor publice aferente programului.</w:t>
      </w:r>
    </w:p>
    <w:p w14:paraId="0CD5FC24" w14:textId="43862381" w:rsidR="00264CE9" w:rsidRPr="00887F6C" w:rsidRDefault="004432B5" w:rsidP="004432B5">
      <w:pPr>
        <w:pStyle w:val="ManualHeading3"/>
        <w:rPr>
          <w:noProof/>
        </w:rPr>
      </w:pPr>
      <w:bookmarkStart w:id="32" w:name="_Toc514941987"/>
      <w:bookmarkStart w:id="33" w:name="_Toc520485214"/>
      <w:r w:rsidRPr="004432B5">
        <w:lastRenderedPageBreak/>
        <w:t>2.2.3.</w:t>
      </w:r>
      <w:r w:rsidRPr="004432B5">
        <w:tab/>
      </w:r>
      <w:r w:rsidR="26526FAA" w:rsidRPr="00887F6C">
        <w:rPr>
          <w:noProof/>
        </w:rPr>
        <w:t>Estimarea și justificarea raportului cost-eficacitate al controalelor (raportul „costurile controalelor ÷ valoarea fondurilor aferente gestionate”) și evaluarea nivelurilor preconizate ale riscului de eroare (la plată și la închidere)</w:t>
      </w:r>
      <w:bookmarkEnd w:id="32"/>
      <w:bookmarkEnd w:id="33"/>
      <w:r w:rsidR="26526FAA" w:rsidRPr="00887F6C">
        <w:rPr>
          <w:noProof/>
        </w:rPr>
        <w:t xml:space="preserve"> </w:t>
      </w:r>
    </w:p>
    <w:p w14:paraId="0836B14C"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Întrucât normele de participare ale programului Orizont Europa aplicabile PRIMA sunt similare cu cele pe care Comisia le va utiliza în programul său de lucru, se poate preconiza că marja de eroare va fi similară cu cea prevăzută de Comisie pentru programul Orizont Europa, și anume, să ofere o asigurare rezonabilă că riscul de eroare pe parcursul perioadei multianuale de cheltuieli se va situa, anual, în intervalul 2 – 5 %.</w:t>
      </w:r>
    </w:p>
    <w:p w14:paraId="353C5746"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A se vedea fișa financiară legislativă a programului Orizont Europa pentru detalii complete privind rata de eroare preconizată cu privire la participanți.</w:t>
      </w:r>
    </w:p>
    <w:p w14:paraId="66ECE7C7" w14:textId="67EE7EDF" w:rsidR="00264CE9" w:rsidRPr="00887F6C" w:rsidRDefault="004432B5" w:rsidP="004432B5">
      <w:pPr>
        <w:pStyle w:val="ManualHeading2"/>
        <w:rPr>
          <w:bCs/>
          <w:noProof/>
          <w:szCs w:val="24"/>
        </w:rPr>
      </w:pPr>
      <w:bookmarkStart w:id="34" w:name="_Toc514941988"/>
      <w:bookmarkStart w:id="35" w:name="_Toc520485215"/>
      <w:r w:rsidRPr="004432B5">
        <w:t>2.3.</w:t>
      </w:r>
      <w:r w:rsidRPr="004432B5">
        <w:tab/>
      </w:r>
      <w:r w:rsidR="26526FAA" w:rsidRPr="00887F6C">
        <w:rPr>
          <w:noProof/>
        </w:rPr>
        <w:t>Măsuri de prevenire a fraudelor și a neregulilor</w:t>
      </w:r>
      <w:bookmarkEnd w:id="34"/>
      <w:bookmarkEnd w:id="35"/>
      <w:r w:rsidR="26526FAA" w:rsidRPr="00887F6C">
        <w:rPr>
          <w:noProof/>
        </w:rPr>
        <w:t xml:space="preserve"> </w:t>
      </w:r>
    </w:p>
    <w:p w14:paraId="2984A4D8" w14:textId="77777777" w:rsidR="00264CE9" w:rsidRPr="00887F6C" w:rsidRDefault="00264CE9" w:rsidP="000727A1">
      <w:pPr>
        <w:pStyle w:val="Text1"/>
        <w:rPr>
          <w:i/>
          <w:noProof/>
          <w:sz w:val="20"/>
        </w:rPr>
      </w:pPr>
      <w:r w:rsidRPr="00887F6C">
        <w:rPr>
          <w:i/>
          <w:noProof/>
          <w:sz w:val="20"/>
        </w:rPr>
        <w:t>A se preciza măsurile de prevenire și de protecție existente sau preconizate, de exemplu din strategia antifraudă.</w:t>
      </w:r>
    </w:p>
    <w:p w14:paraId="60B4CD5B"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Comisia va asigura faptul că PRIMA-IS aplică proceduri de luptă împotriva fraudei în toate etapele procesului de gestionare. </w:t>
      </w:r>
    </w:p>
    <w:p w14:paraId="13370290"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Propunerile pentru Orizont Europa au fost realizate astfel încât să minimizeze posibilitatea de fraudă și au făcut obiectul evaluării impactului lor. În ansamblu, este necesar ca măsurile propuse să aibă un impact pozitiv în lupta împotriva fraudei, în special în ceea ce privește accentul mai mare asupra auditului bazat pe risc și consolidarea evaluării științifice și a controlului.</w:t>
      </w:r>
    </w:p>
    <w:p w14:paraId="406A145F"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La punerea în aplicare a acțiunilor finanțate în temeiul prezentului regulament, Comisia va asigura luarea măsurilor corespunzătoare pentru a se garanta protejarea intereselor financiare ale Uniunii prin aplicarea de măsuri preventive împotriva fraudei, a corupției și a oricăror alte activități ilegale, prin controale eficace și, în cazul în care se constată nereguli, prin recuperarea sumelor plătite în mod necuvenit, precum și, dacă este necesar, prin sancțiuni eficace, proporționale și disuasive.</w:t>
      </w:r>
    </w:p>
    <w:p w14:paraId="409C53FB"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Curtea de Conturi are competența de a efectua audituri, atât pe bază de documente, cât și la fața locului, în ceea ce privește toți beneficiarii de granturi, contractanții și subcontractanții care au primit fonduri din partea Uniunii în cadrul programului.</w:t>
      </w:r>
    </w:p>
    <w:p w14:paraId="484EAB5C" w14:textId="77777777" w:rsidR="00264CE9" w:rsidRPr="00887F6C" w:rsidRDefault="00264CE9" w:rsidP="000727A1">
      <w:pPr>
        <w:pStyle w:val="Text1"/>
        <w:pBdr>
          <w:top w:val="single" w:sz="4" w:space="1" w:color="auto"/>
          <w:left w:val="single" w:sz="4" w:space="4" w:color="auto"/>
          <w:bottom w:val="single" w:sz="4" w:space="1" w:color="auto"/>
          <w:right w:val="single" w:sz="4" w:space="4" w:color="auto"/>
        </w:pBdr>
        <w:rPr>
          <w:noProof/>
        </w:rPr>
      </w:pPr>
      <w:r w:rsidRPr="00887F6C">
        <w:rPr>
          <w:noProof/>
        </w:rPr>
        <w:t xml:space="preserve">Oficiul European de Luptă Antifraudă (OLAF) poate efectua controale și inspecții la fața locului vizând operatorii economici care beneficiază direct sau indirect de o astfel de finanțare, în conformitate cu procedurile prevăzute în regulament. </w:t>
      </w:r>
    </w:p>
    <w:p w14:paraId="0D10C6D6" w14:textId="77777777" w:rsidR="00264CE9" w:rsidRPr="00887F6C" w:rsidRDefault="00264CE9" w:rsidP="000727A1">
      <w:pPr>
        <w:rPr>
          <w:noProof/>
        </w:rPr>
        <w:sectPr w:rsidR="00264CE9" w:rsidRPr="00887F6C" w:rsidSect="00826666">
          <w:pgSz w:w="11907" w:h="16840" w:code="9"/>
          <w:pgMar w:top="1134" w:right="1418" w:bottom="1134" w:left="1418" w:header="709" w:footer="709" w:gutter="0"/>
          <w:cols w:space="708"/>
          <w:docGrid w:linePitch="360"/>
        </w:sectPr>
      </w:pPr>
    </w:p>
    <w:p w14:paraId="57A8AE1F" w14:textId="2D351189" w:rsidR="00264CE9" w:rsidRPr="00887F6C" w:rsidRDefault="004432B5" w:rsidP="004432B5">
      <w:pPr>
        <w:pStyle w:val="ManualHeading1"/>
        <w:rPr>
          <w:bCs/>
          <w:noProof/>
          <w:szCs w:val="24"/>
        </w:rPr>
      </w:pPr>
      <w:bookmarkStart w:id="36" w:name="_Toc514941989"/>
      <w:bookmarkStart w:id="37" w:name="_Toc520485216"/>
      <w:r w:rsidRPr="004432B5">
        <w:lastRenderedPageBreak/>
        <w:t>3.</w:t>
      </w:r>
      <w:r w:rsidRPr="004432B5">
        <w:tab/>
      </w:r>
      <w:r w:rsidR="00264CE9" w:rsidRPr="00887F6C">
        <w:rPr>
          <w:noProof/>
        </w:rPr>
        <w:t>IMPACTUL FINANCIAR ESTIMAT AL PROPUNERII/INIȚIATIVEI</w:t>
      </w:r>
      <w:bookmarkEnd w:id="36"/>
      <w:bookmarkEnd w:id="37"/>
      <w:r w:rsidR="00264CE9" w:rsidRPr="00887F6C">
        <w:rPr>
          <w:noProof/>
        </w:rPr>
        <w:t xml:space="preserve"> </w:t>
      </w:r>
    </w:p>
    <w:p w14:paraId="7D2CC5CE" w14:textId="6277E911" w:rsidR="00264CE9" w:rsidRPr="00887F6C" w:rsidRDefault="004432B5" w:rsidP="004432B5">
      <w:pPr>
        <w:pStyle w:val="ManualHeading2"/>
        <w:rPr>
          <w:noProof/>
        </w:rPr>
      </w:pPr>
      <w:bookmarkStart w:id="38" w:name="_Toc514941990"/>
      <w:bookmarkStart w:id="39" w:name="_Toc520485217"/>
      <w:r w:rsidRPr="004432B5">
        <w:t>3.1.</w:t>
      </w:r>
      <w:r w:rsidRPr="004432B5">
        <w:tab/>
      </w:r>
      <w:r w:rsidR="00264CE9" w:rsidRPr="00887F6C">
        <w:rPr>
          <w:noProof/>
        </w:rPr>
        <w:t>Rubrica din cadrul financiar multianual și linia (liniile) bugetară (bugetare) de cheltuieli afectată (afectate)</w:t>
      </w:r>
      <w:bookmarkEnd w:id="38"/>
      <w:bookmarkEnd w:id="39"/>
      <w:r w:rsidR="00264CE9" w:rsidRPr="00887F6C">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1044"/>
        <w:gridCol w:w="1134"/>
        <w:gridCol w:w="814"/>
        <w:gridCol w:w="1448"/>
      </w:tblGrid>
      <w:tr w:rsidR="00264CE9" w:rsidRPr="00887F6C" w14:paraId="5ACB4E6A" w14:textId="77777777" w:rsidTr="6948CE82">
        <w:tc>
          <w:tcPr>
            <w:tcW w:w="1080" w:type="dxa"/>
            <w:vMerge w:val="restart"/>
            <w:vAlign w:val="center"/>
          </w:tcPr>
          <w:p w14:paraId="39AD7B47" w14:textId="77777777" w:rsidR="00264CE9" w:rsidRPr="00887F6C" w:rsidRDefault="00264CE9" w:rsidP="000727A1">
            <w:pPr>
              <w:spacing w:before="60" w:after="60"/>
              <w:jc w:val="center"/>
              <w:rPr>
                <w:noProof/>
              </w:rPr>
            </w:pPr>
            <w:r w:rsidRPr="00887F6C">
              <w:rPr>
                <w:noProof/>
                <w:sz w:val="18"/>
              </w:rPr>
              <w:t>Rubrica din cadrul financiar multianual</w:t>
            </w:r>
          </w:p>
        </w:tc>
        <w:tc>
          <w:tcPr>
            <w:tcW w:w="3960" w:type="dxa"/>
            <w:vAlign w:val="center"/>
          </w:tcPr>
          <w:p w14:paraId="4F5F2DFB" w14:textId="77777777" w:rsidR="00264CE9" w:rsidRPr="00887F6C" w:rsidRDefault="00264CE9" w:rsidP="000727A1">
            <w:pPr>
              <w:spacing w:before="60" w:after="60"/>
              <w:jc w:val="center"/>
              <w:rPr>
                <w:noProof/>
              </w:rPr>
            </w:pPr>
            <w:r w:rsidRPr="00887F6C">
              <w:rPr>
                <w:noProof/>
                <w:sz w:val="20"/>
              </w:rPr>
              <w:t>Linia bugetară</w:t>
            </w:r>
          </w:p>
        </w:tc>
        <w:tc>
          <w:tcPr>
            <w:tcW w:w="1080" w:type="dxa"/>
            <w:vAlign w:val="center"/>
          </w:tcPr>
          <w:p w14:paraId="1173D233" w14:textId="77777777" w:rsidR="00264CE9" w:rsidRPr="007E67C1" w:rsidRDefault="00264CE9" w:rsidP="000727A1">
            <w:pPr>
              <w:spacing w:before="60" w:after="60"/>
              <w:jc w:val="center"/>
              <w:rPr>
                <w:noProof/>
                <w:sz w:val="18"/>
              </w:rPr>
            </w:pPr>
            <w:r w:rsidRPr="007E67C1">
              <w:rPr>
                <w:noProof/>
                <w:sz w:val="18"/>
              </w:rPr>
              <w:t>Tip de cheltuieli</w:t>
            </w:r>
          </w:p>
        </w:tc>
        <w:tc>
          <w:tcPr>
            <w:tcW w:w="4440" w:type="dxa"/>
            <w:gridSpan w:val="4"/>
            <w:vAlign w:val="center"/>
          </w:tcPr>
          <w:p w14:paraId="2353A41A" w14:textId="77777777" w:rsidR="00264CE9" w:rsidRPr="00887F6C" w:rsidRDefault="00264CE9" w:rsidP="000727A1">
            <w:pPr>
              <w:spacing w:before="60" w:after="60"/>
              <w:jc w:val="center"/>
              <w:rPr>
                <w:noProof/>
              </w:rPr>
            </w:pPr>
            <w:r w:rsidRPr="00887F6C">
              <w:rPr>
                <w:noProof/>
                <w:sz w:val="20"/>
              </w:rPr>
              <w:t xml:space="preserve">Contribuție </w:t>
            </w:r>
          </w:p>
        </w:tc>
      </w:tr>
      <w:tr w:rsidR="00264CE9" w:rsidRPr="00887F6C" w14:paraId="6EA4228E" w14:textId="77777777" w:rsidTr="6948CE82">
        <w:tc>
          <w:tcPr>
            <w:tcW w:w="1080" w:type="dxa"/>
            <w:vMerge/>
            <w:vAlign w:val="center"/>
          </w:tcPr>
          <w:p w14:paraId="448C1199" w14:textId="77777777" w:rsidR="00264CE9" w:rsidRPr="00887F6C" w:rsidRDefault="00264CE9" w:rsidP="000727A1">
            <w:pPr>
              <w:jc w:val="center"/>
              <w:rPr>
                <w:noProof/>
              </w:rPr>
            </w:pPr>
          </w:p>
        </w:tc>
        <w:tc>
          <w:tcPr>
            <w:tcW w:w="3960" w:type="dxa"/>
            <w:vAlign w:val="center"/>
          </w:tcPr>
          <w:p w14:paraId="4C8BF34C" w14:textId="77777777" w:rsidR="00264CE9" w:rsidRPr="00887F6C" w:rsidRDefault="00264CE9" w:rsidP="000727A1">
            <w:pPr>
              <w:rPr>
                <w:b/>
                <w:noProof/>
                <w:sz w:val="20"/>
              </w:rPr>
            </w:pPr>
            <w:r w:rsidRPr="00887F6C">
              <w:rPr>
                <w:b/>
                <w:noProof/>
                <w:sz w:val="20"/>
              </w:rPr>
              <w:t>Rubrica 1</w:t>
            </w:r>
          </w:p>
          <w:p w14:paraId="300186D9" w14:textId="77777777" w:rsidR="00264CE9" w:rsidRPr="00887F6C" w:rsidRDefault="00264CE9" w:rsidP="000727A1">
            <w:pPr>
              <w:rPr>
                <w:b/>
                <w:noProof/>
              </w:rPr>
            </w:pPr>
            <w:r w:rsidRPr="00887F6C">
              <w:rPr>
                <w:b/>
                <w:noProof/>
                <w:sz w:val="20"/>
              </w:rPr>
              <w:t>Piața unică, inovare și sectorul digital – Orizont Europa</w:t>
            </w:r>
          </w:p>
        </w:tc>
        <w:tc>
          <w:tcPr>
            <w:tcW w:w="1080" w:type="dxa"/>
            <w:vAlign w:val="center"/>
          </w:tcPr>
          <w:p w14:paraId="459EFD50" w14:textId="77777777" w:rsidR="00264CE9" w:rsidRPr="007E67C1" w:rsidRDefault="38EAB029" w:rsidP="000727A1">
            <w:pPr>
              <w:jc w:val="center"/>
              <w:rPr>
                <w:noProof/>
                <w:sz w:val="18"/>
              </w:rPr>
            </w:pPr>
            <w:r w:rsidRPr="007E67C1">
              <w:rPr>
                <w:noProof/>
                <w:sz w:val="18"/>
              </w:rPr>
              <w:t>Dif./Nedif.</w:t>
            </w:r>
            <w:r w:rsidRPr="007E67C1">
              <w:rPr>
                <w:rStyle w:val="Referinnotdesubsol"/>
                <w:noProof/>
                <w:sz w:val="18"/>
              </w:rPr>
              <w:footnoteReference w:id="31"/>
            </w:r>
          </w:p>
        </w:tc>
        <w:tc>
          <w:tcPr>
            <w:tcW w:w="1044" w:type="dxa"/>
            <w:vAlign w:val="center"/>
          </w:tcPr>
          <w:p w14:paraId="7F68AEAA" w14:textId="77777777" w:rsidR="00264CE9" w:rsidRPr="00887F6C" w:rsidRDefault="38EAB029" w:rsidP="000727A1">
            <w:pPr>
              <w:jc w:val="center"/>
              <w:rPr>
                <w:noProof/>
              </w:rPr>
            </w:pPr>
            <w:r w:rsidRPr="00887F6C">
              <w:rPr>
                <w:noProof/>
                <w:sz w:val="18"/>
              </w:rPr>
              <w:t>din partea țărilor AELS</w:t>
            </w:r>
            <w:r w:rsidRPr="00887F6C">
              <w:rPr>
                <w:rStyle w:val="Referinnotdesubsol"/>
                <w:noProof/>
                <w:sz w:val="18"/>
              </w:rPr>
              <w:footnoteReference w:id="32"/>
            </w:r>
          </w:p>
          <w:p w14:paraId="6E01B055" w14:textId="77777777" w:rsidR="00264CE9" w:rsidRPr="00887F6C" w:rsidRDefault="00264CE9" w:rsidP="000727A1">
            <w:pPr>
              <w:spacing w:before="0" w:after="0"/>
              <w:jc w:val="center"/>
              <w:rPr>
                <w:b/>
                <w:noProof/>
                <w:sz w:val="18"/>
              </w:rPr>
            </w:pPr>
          </w:p>
        </w:tc>
        <w:tc>
          <w:tcPr>
            <w:tcW w:w="1134" w:type="dxa"/>
            <w:vAlign w:val="center"/>
          </w:tcPr>
          <w:p w14:paraId="51D6A164" w14:textId="77777777" w:rsidR="00264CE9" w:rsidRPr="00887F6C" w:rsidRDefault="38EAB029" w:rsidP="000727A1">
            <w:pPr>
              <w:jc w:val="center"/>
              <w:rPr>
                <w:noProof/>
              </w:rPr>
            </w:pPr>
            <w:r w:rsidRPr="00887F6C">
              <w:rPr>
                <w:noProof/>
                <w:sz w:val="18"/>
              </w:rPr>
              <w:t>din partea țărilor candidate</w:t>
            </w:r>
            <w:r w:rsidRPr="00887F6C">
              <w:rPr>
                <w:rStyle w:val="Referinnotdesubsol"/>
                <w:noProof/>
                <w:sz w:val="18"/>
              </w:rPr>
              <w:footnoteReference w:id="33"/>
            </w:r>
          </w:p>
          <w:p w14:paraId="31FA648D" w14:textId="77777777" w:rsidR="00264CE9" w:rsidRPr="00887F6C" w:rsidRDefault="00264CE9" w:rsidP="000727A1">
            <w:pPr>
              <w:spacing w:before="0" w:after="0"/>
              <w:jc w:val="center"/>
              <w:rPr>
                <w:noProof/>
                <w:sz w:val="18"/>
              </w:rPr>
            </w:pPr>
          </w:p>
        </w:tc>
        <w:tc>
          <w:tcPr>
            <w:tcW w:w="814" w:type="dxa"/>
            <w:vAlign w:val="center"/>
          </w:tcPr>
          <w:p w14:paraId="6DF04C49" w14:textId="77777777" w:rsidR="00264CE9" w:rsidRPr="00887F6C" w:rsidRDefault="00264CE9" w:rsidP="000727A1">
            <w:pPr>
              <w:jc w:val="center"/>
              <w:rPr>
                <w:noProof/>
                <w:sz w:val="18"/>
              </w:rPr>
            </w:pPr>
            <w:r w:rsidRPr="00887F6C">
              <w:rPr>
                <w:noProof/>
                <w:sz w:val="18"/>
              </w:rPr>
              <w:t>din partea țărilor terțe</w:t>
            </w:r>
          </w:p>
        </w:tc>
        <w:tc>
          <w:tcPr>
            <w:tcW w:w="1448" w:type="dxa"/>
            <w:vAlign w:val="center"/>
          </w:tcPr>
          <w:p w14:paraId="36AB8F45" w14:textId="77777777" w:rsidR="00264CE9" w:rsidRPr="00887F6C" w:rsidRDefault="00264CE9" w:rsidP="000727A1">
            <w:pPr>
              <w:jc w:val="center"/>
              <w:rPr>
                <w:noProof/>
              </w:rPr>
            </w:pPr>
            <w:r w:rsidRPr="00887F6C">
              <w:rPr>
                <w:noProof/>
                <w:sz w:val="16"/>
              </w:rPr>
              <w:t xml:space="preserve">în sensul articolului 21 alineatul (2) litera (b) din Regulamentul financiar </w:t>
            </w:r>
          </w:p>
        </w:tc>
      </w:tr>
      <w:tr w:rsidR="00264CE9" w:rsidRPr="00887F6C" w14:paraId="6F3EEFE8" w14:textId="77777777" w:rsidTr="6948CE82">
        <w:tc>
          <w:tcPr>
            <w:tcW w:w="1080" w:type="dxa"/>
            <w:vAlign w:val="center"/>
          </w:tcPr>
          <w:p w14:paraId="29CE8F48" w14:textId="77777777" w:rsidR="00264CE9" w:rsidRPr="00887F6C" w:rsidRDefault="00264CE9" w:rsidP="000727A1">
            <w:pPr>
              <w:jc w:val="center"/>
              <w:rPr>
                <w:noProof/>
              </w:rPr>
            </w:pPr>
            <w:r w:rsidRPr="00887F6C">
              <w:rPr>
                <w:noProof/>
              </w:rPr>
              <w:t>1</w:t>
            </w:r>
          </w:p>
        </w:tc>
        <w:tc>
          <w:tcPr>
            <w:tcW w:w="3960" w:type="dxa"/>
            <w:vAlign w:val="center"/>
          </w:tcPr>
          <w:p w14:paraId="745B93FF" w14:textId="77777777" w:rsidR="00264CE9" w:rsidRPr="00887F6C" w:rsidRDefault="00264CE9" w:rsidP="009B0513">
            <w:pPr>
              <w:spacing w:after="60"/>
              <w:rPr>
                <w:noProof/>
              </w:rPr>
            </w:pPr>
            <w:r w:rsidRPr="00887F6C">
              <w:rPr>
                <w:noProof/>
              </w:rPr>
              <w:t>01 02 02 60 – clusterul (vi) Alimente, bioeconomie, resurse naturale, agricultură și mediu</w:t>
            </w:r>
          </w:p>
        </w:tc>
        <w:tc>
          <w:tcPr>
            <w:tcW w:w="1080" w:type="dxa"/>
            <w:vAlign w:val="center"/>
          </w:tcPr>
          <w:p w14:paraId="78498B7A" w14:textId="77777777" w:rsidR="00264CE9" w:rsidRPr="00887F6C" w:rsidRDefault="00264CE9" w:rsidP="000727A1">
            <w:pPr>
              <w:jc w:val="center"/>
              <w:rPr>
                <w:noProof/>
              </w:rPr>
            </w:pPr>
            <w:r w:rsidRPr="00887F6C">
              <w:rPr>
                <w:noProof/>
                <w:sz w:val="22"/>
              </w:rPr>
              <w:t>Dif.</w:t>
            </w:r>
          </w:p>
        </w:tc>
        <w:tc>
          <w:tcPr>
            <w:tcW w:w="1044" w:type="dxa"/>
            <w:vAlign w:val="center"/>
          </w:tcPr>
          <w:p w14:paraId="3878D29D" w14:textId="77777777" w:rsidR="00264CE9" w:rsidRPr="00887F6C" w:rsidRDefault="00264CE9" w:rsidP="000727A1">
            <w:pPr>
              <w:jc w:val="center"/>
              <w:rPr>
                <w:noProof/>
              </w:rPr>
            </w:pPr>
            <w:r w:rsidRPr="00887F6C">
              <w:rPr>
                <w:noProof/>
                <w:sz w:val="22"/>
              </w:rPr>
              <w:t>DA</w:t>
            </w:r>
          </w:p>
        </w:tc>
        <w:tc>
          <w:tcPr>
            <w:tcW w:w="1134" w:type="dxa"/>
            <w:vAlign w:val="center"/>
          </w:tcPr>
          <w:p w14:paraId="0E349E4A" w14:textId="77777777" w:rsidR="00264CE9" w:rsidRPr="00887F6C" w:rsidRDefault="00264CE9" w:rsidP="000727A1">
            <w:pPr>
              <w:jc w:val="center"/>
              <w:rPr>
                <w:noProof/>
              </w:rPr>
            </w:pPr>
            <w:r w:rsidRPr="00887F6C">
              <w:rPr>
                <w:noProof/>
                <w:sz w:val="22"/>
              </w:rPr>
              <w:t>DA</w:t>
            </w:r>
          </w:p>
        </w:tc>
        <w:tc>
          <w:tcPr>
            <w:tcW w:w="814" w:type="dxa"/>
            <w:vAlign w:val="center"/>
          </w:tcPr>
          <w:p w14:paraId="13A93AC7" w14:textId="77777777" w:rsidR="00264CE9" w:rsidRPr="00887F6C" w:rsidRDefault="00264CE9" w:rsidP="000727A1">
            <w:pPr>
              <w:jc w:val="center"/>
              <w:rPr>
                <w:noProof/>
              </w:rPr>
            </w:pPr>
            <w:r w:rsidRPr="00887F6C">
              <w:rPr>
                <w:noProof/>
                <w:sz w:val="22"/>
              </w:rPr>
              <w:t>DA</w:t>
            </w:r>
          </w:p>
        </w:tc>
        <w:tc>
          <w:tcPr>
            <w:tcW w:w="1448" w:type="dxa"/>
            <w:vAlign w:val="center"/>
          </w:tcPr>
          <w:p w14:paraId="5E40991E" w14:textId="77777777" w:rsidR="00264CE9" w:rsidRPr="00887F6C" w:rsidRDefault="00264CE9" w:rsidP="000727A1">
            <w:pPr>
              <w:jc w:val="center"/>
              <w:rPr>
                <w:noProof/>
              </w:rPr>
            </w:pPr>
            <w:r w:rsidRPr="00887F6C">
              <w:rPr>
                <w:noProof/>
                <w:sz w:val="22"/>
              </w:rPr>
              <w:t>DA</w:t>
            </w:r>
          </w:p>
        </w:tc>
      </w:tr>
    </w:tbl>
    <w:p w14:paraId="5C869995" w14:textId="77777777" w:rsidR="00264CE9" w:rsidRPr="00887F6C" w:rsidRDefault="00264CE9" w:rsidP="000727A1">
      <w:pPr>
        <w:rPr>
          <w:noProof/>
        </w:rPr>
        <w:sectPr w:rsidR="00264CE9" w:rsidRPr="00887F6C" w:rsidSect="00826666">
          <w:pgSz w:w="11907" w:h="16840" w:code="1"/>
          <w:pgMar w:top="1134" w:right="1418" w:bottom="1134" w:left="1418" w:header="709" w:footer="709" w:gutter="0"/>
          <w:cols w:space="708"/>
          <w:docGrid w:linePitch="360"/>
        </w:sectPr>
      </w:pPr>
    </w:p>
    <w:p w14:paraId="32BEBE2C" w14:textId="61B11B79" w:rsidR="00264CE9" w:rsidRPr="00887F6C" w:rsidRDefault="004432B5" w:rsidP="004432B5">
      <w:pPr>
        <w:pStyle w:val="ManualHeading2"/>
        <w:rPr>
          <w:bCs/>
          <w:noProof/>
          <w:szCs w:val="24"/>
        </w:rPr>
      </w:pPr>
      <w:bookmarkStart w:id="40" w:name="_Toc514941991"/>
      <w:bookmarkStart w:id="41" w:name="_Toc520485218"/>
      <w:r w:rsidRPr="004432B5">
        <w:lastRenderedPageBreak/>
        <w:t>3.2.</w:t>
      </w:r>
      <w:r w:rsidRPr="004432B5">
        <w:tab/>
      </w:r>
      <w:r w:rsidR="00264CE9" w:rsidRPr="00887F6C">
        <w:rPr>
          <w:noProof/>
        </w:rPr>
        <w:t>Impactul estimat asupra cheltuielilor</w:t>
      </w:r>
      <w:bookmarkEnd w:id="40"/>
      <w:bookmarkEnd w:id="41"/>
      <w:r w:rsidR="00264CE9" w:rsidRPr="00887F6C">
        <w:rPr>
          <w:noProof/>
        </w:rPr>
        <w:t xml:space="preserve"> </w:t>
      </w:r>
    </w:p>
    <w:p w14:paraId="5A927E0B" w14:textId="144978EF" w:rsidR="00264CE9" w:rsidRPr="00887F6C" w:rsidRDefault="004432B5" w:rsidP="004432B5">
      <w:pPr>
        <w:pStyle w:val="ManualHeading3"/>
        <w:rPr>
          <w:noProof/>
          <w:u w:val="single"/>
        </w:rPr>
      </w:pPr>
      <w:bookmarkStart w:id="42" w:name="_Toc514941992"/>
      <w:bookmarkStart w:id="43" w:name="_Toc520485219"/>
      <w:r w:rsidRPr="004432B5">
        <w:t>3.2.1.</w:t>
      </w:r>
      <w:r w:rsidRPr="004432B5">
        <w:tab/>
      </w:r>
      <w:r w:rsidR="00264CE9" w:rsidRPr="00887F6C">
        <w:rPr>
          <w:noProof/>
        </w:rPr>
        <w:t>Sinteza impactului estimat asupra cheltuielilor</w:t>
      </w:r>
      <w:bookmarkEnd w:id="42"/>
      <w:bookmarkEnd w:id="43"/>
      <w:r w:rsidR="00264CE9" w:rsidRPr="00887F6C">
        <w:rPr>
          <w:noProof/>
        </w:rPr>
        <w:t xml:space="preserve"> </w:t>
      </w:r>
    </w:p>
    <w:p w14:paraId="40FA4097" w14:textId="77777777" w:rsidR="00264CE9" w:rsidRPr="00887F6C" w:rsidRDefault="00264CE9" w:rsidP="000727A1">
      <w:pPr>
        <w:jc w:val="right"/>
        <w:rPr>
          <w:noProof/>
          <w:sz w:val="20"/>
        </w:rPr>
      </w:pPr>
      <w:r w:rsidRPr="00887F6C">
        <w:rPr>
          <w:noProof/>
          <w:sz w:val="20"/>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64CE9" w:rsidRPr="00887F6C" w14:paraId="05832F56" w14:textId="77777777" w:rsidTr="000727A1">
        <w:trPr>
          <w:jc w:val="center"/>
        </w:trPr>
        <w:tc>
          <w:tcPr>
            <w:tcW w:w="4744" w:type="dxa"/>
            <w:shd w:val="thinDiagStripe" w:color="C0C0C0" w:fill="auto"/>
            <w:vAlign w:val="center"/>
          </w:tcPr>
          <w:p w14:paraId="5B8CBD77" w14:textId="77777777" w:rsidR="00264CE9" w:rsidRPr="00887F6C" w:rsidRDefault="00264CE9" w:rsidP="000727A1">
            <w:pPr>
              <w:spacing w:before="60" w:after="60"/>
              <w:jc w:val="center"/>
              <w:rPr>
                <w:b/>
                <w:noProof/>
              </w:rPr>
            </w:pPr>
            <w:r w:rsidRPr="00887F6C">
              <w:rPr>
                <w:b/>
                <w:noProof/>
                <w:sz w:val="22"/>
              </w:rPr>
              <w:t xml:space="preserve">Rubrica din cadrul financiar multianual </w:t>
            </w:r>
          </w:p>
        </w:tc>
        <w:tc>
          <w:tcPr>
            <w:tcW w:w="1080" w:type="dxa"/>
            <w:vAlign w:val="center"/>
          </w:tcPr>
          <w:p w14:paraId="414D6B8D" w14:textId="77777777" w:rsidR="00264CE9" w:rsidRPr="00887F6C" w:rsidRDefault="00264CE9" w:rsidP="000727A1">
            <w:pPr>
              <w:spacing w:before="60" w:after="60"/>
              <w:jc w:val="center"/>
              <w:rPr>
                <w:noProof/>
              </w:rPr>
            </w:pPr>
            <w:r w:rsidRPr="00887F6C">
              <w:rPr>
                <w:b/>
                <w:noProof/>
                <w:sz w:val="22"/>
              </w:rPr>
              <w:t>1</w:t>
            </w:r>
          </w:p>
        </w:tc>
        <w:tc>
          <w:tcPr>
            <w:tcW w:w="7817" w:type="dxa"/>
            <w:vAlign w:val="center"/>
          </w:tcPr>
          <w:p w14:paraId="5223DA96" w14:textId="77777777" w:rsidR="00264CE9" w:rsidRPr="00887F6C" w:rsidRDefault="00264CE9" w:rsidP="000727A1">
            <w:pPr>
              <w:spacing w:before="60" w:after="60"/>
              <w:jc w:val="left"/>
              <w:rPr>
                <w:noProof/>
              </w:rPr>
            </w:pPr>
            <w:r w:rsidRPr="00887F6C">
              <w:rPr>
                <w:b/>
                <w:noProof/>
                <w:sz w:val="20"/>
              </w:rPr>
              <w:t>Piața unică, inovare și sectorul digital – Orizont Europa –</w:t>
            </w:r>
          </w:p>
          <w:p w14:paraId="44858894" w14:textId="77777777" w:rsidR="00264CE9" w:rsidRPr="00887F6C" w:rsidRDefault="00264CE9" w:rsidP="000727A1">
            <w:pPr>
              <w:spacing w:before="60" w:after="60"/>
              <w:jc w:val="left"/>
              <w:rPr>
                <w:noProof/>
              </w:rPr>
            </w:pPr>
            <w:r w:rsidRPr="00887F6C">
              <w:rPr>
                <w:noProof/>
              </w:rPr>
              <w:t>Clusterul (vi) Alimente, bioeconomie, resurse naturale, agricultură și mediu</w:t>
            </w:r>
          </w:p>
          <w:p w14:paraId="51D578AC" w14:textId="77777777" w:rsidR="00264CE9" w:rsidRPr="00887F6C" w:rsidRDefault="00264CE9" w:rsidP="000727A1">
            <w:pPr>
              <w:spacing w:before="60" w:after="60"/>
              <w:jc w:val="left"/>
              <w:rPr>
                <w:noProof/>
              </w:rPr>
            </w:pPr>
          </w:p>
        </w:tc>
      </w:tr>
    </w:tbl>
    <w:p w14:paraId="14BBA959" w14:textId="77777777" w:rsidR="00264CE9" w:rsidRPr="00887F6C" w:rsidRDefault="00264CE9" w:rsidP="000727A1">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264CE9" w:rsidRPr="00887F6C" w14:paraId="3333AC5C" w14:textId="77777777" w:rsidTr="6948CE82">
        <w:trPr>
          <w:jc w:val="center"/>
        </w:trPr>
        <w:tc>
          <w:tcPr>
            <w:tcW w:w="6197" w:type="dxa"/>
            <w:gridSpan w:val="3"/>
            <w:tcBorders>
              <w:top w:val="nil"/>
              <w:left w:val="nil"/>
              <w:bottom w:val="nil"/>
              <w:right w:val="single" w:sz="4" w:space="0" w:color="auto"/>
            </w:tcBorders>
            <w:vAlign w:val="center"/>
          </w:tcPr>
          <w:p w14:paraId="7E5C6A29" w14:textId="77777777" w:rsidR="00264CE9" w:rsidRPr="00887F6C" w:rsidRDefault="00264CE9" w:rsidP="000727A1">
            <w:pPr>
              <w:jc w:val="center"/>
              <w:rPr>
                <w:b/>
                <w:noProof/>
                <w:sz w:val="20"/>
              </w:rPr>
            </w:pPr>
          </w:p>
        </w:tc>
        <w:tc>
          <w:tcPr>
            <w:tcW w:w="868" w:type="dxa"/>
            <w:tcBorders>
              <w:left w:val="single" w:sz="4" w:space="0" w:color="auto"/>
            </w:tcBorders>
            <w:vAlign w:val="center"/>
          </w:tcPr>
          <w:p w14:paraId="3A6194E4" w14:textId="77777777" w:rsidR="00264CE9" w:rsidRPr="00887F6C" w:rsidRDefault="00264CE9" w:rsidP="000727A1">
            <w:pPr>
              <w:jc w:val="center"/>
              <w:rPr>
                <w:b/>
                <w:noProof/>
                <w:sz w:val="20"/>
              </w:rPr>
            </w:pPr>
            <w:r w:rsidRPr="00887F6C">
              <w:rPr>
                <w:b/>
                <w:noProof/>
                <w:sz w:val="20"/>
              </w:rPr>
              <w:t>2021</w:t>
            </w:r>
          </w:p>
        </w:tc>
        <w:tc>
          <w:tcPr>
            <w:tcW w:w="868" w:type="dxa"/>
            <w:vAlign w:val="center"/>
          </w:tcPr>
          <w:p w14:paraId="4C99BB2E" w14:textId="77777777" w:rsidR="00264CE9" w:rsidRPr="00887F6C" w:rsidRDefault="00264CE9" w:rsidP="000727A1">
            <w:pPr>
              <w:jc w:val="center"/>
              <w:rPr>
                <w:b/>
                <w:noProof/>
                <w:sz w:val="20"/>
              </w:rPr>
            </w:pPr>
            <w:r w:rsidRPr="00887F6C">
              <w:rPr>
                <w:b/>
                <w:noProof/>
                <w:sz w:val="20"/>
              </w:rPr>
              <w:t>2022</w:t>
            </w:r>
          </w:p>
        </w:tc>
        <w:tc>
          <w:tcPr>
            <w:tcW w:w="868" w:type="dxa"/>
            <w:vAlign w:val="center"/>
          </w:tcPr>
          <w:p w14:paraId="40AEB112" w14:textId="77777777" w:rsidR="00264CE9" w:rsidRPr="00887F6C" w:rsidRDefault="00264CE9" w:rsidP="000727A1">
            <w:pPr>
              <w:jc w:val="center"/>
              <w:rPr>
                <w:b/>
                <w:noProof/>
                <w:sz w:val="20"/>
              </w:rPr>
            </w:pPr>
            <w:r w:rsidRPr="00887F6C">
              <w:rPr>
                <w:b/>
                <w:noProof/>
                <w:sz w:val="20"/>
              </w:rPr>
              <w:t>2023</w:t>
            </w:r>
          </w:p>
        </w:tc>
        <w:tc>
          <w:tcPr>
            <w:tcW w:w="868" w:type="dxa"/>
            <w:vAlign w:val="center"/>
          </w:tcPr>
          <w:p w14:paraId="08CBE5D2" w14:textId="77777777" w:rsidR="00264CE9" w:rsidRPr="00887F6C" w:rsidRDefault="00264CE9" w:rsidP="000727A1">
            <w:pPr>
              <w:jc w:val="center"/>
              <w:rPr>
                <w:b/>
                <w:noProof/>
                <w:sz w:val="20"/>
              </w:rPr>
            </w:pPr>
            <w:r w:rsidRPr="00887F6C">
              <w:rPr>
                <w:b/>
                <w:noProof/>
                <w:sz w:val="20"/>
              </w:rPr>
              <w:t>2024</w:t>
            </w:r>
          </w:p>
        </w:tc>
        <w:tc>
          <w:tcPr>
            <w:tcW w:w="868" w:type="dxa"/>
            <w:vAlign w:val="center"/>
          </w:tcPr>
          <w:p w14:paraId="113C5A72" w14:textId="77777777" w:rsidR="00264CE9" w:rsidRPr="00887F6C" w:rsidRDefault="00264CE9" w:rsidP="000727A1">
            <w:pPr>
              <w:jc w:val="center"/>
              <w:rPr>
                <w:b/>
                <w:noProof/>
                <w:sz w:val="18"/>
              </w:rPr>
            </w:pPr>
            <w:r w:rsidRPr="00887F6C">
              <w:rPr>
                <w:b/>
                <w:noProof/>
                <w:sz w:val="18"/>
              </w:rPr>
              <w:t>2025</w:t>
            </w:r>
          </w:p>
        </w:tc>
        <w:tc>
          <w:tcPr>
            <w:tcW w:w="868" w:type="dxa"/>
            <w:vAlign w:val="center"/>
          </w:tcPr>
          <w:p w14:paraId="536680E2" w14:textId="77777777" w:rsidR="00264CE9" w:rsidRPr="00887F6C" w:rsidRDefault="00264CE9" w:rsidP="000727A1">
            <w:pPr>
              <w:jc w:val="center"/>
              <w:rPr>
                <w:b/>
                <w:noProof/>
                <w:sz w:val="18"/>
              </w:rPr>
            </w:pPr>
            <w:r w:rsidRPr="00887F6C">
              <w:rPr>
                <w:b/>
                <w:noProof/>
                <w:sz w:val="18"/>
              </w:rPr>
              <w:t>2026</w:t>
            </w:r>
          </w:p>
        </w:tc>
        <w:tc>
          <w:tcPr>
            <w:tcW w:w="868" w:type="dxa"/>
            <w:vAlign w:val="center"/>
          </w:tcPr>
          <w:p w14:paraId="1E6B4428" w14:textId="77777777" w:rsidR="00264CE9" w:rsidRPr="00887F6C" w:rsidRDefault="00264CE9" w:rsidP="000727A1">
            <w:pPr>
              <w:jc w:val="center"/>
              <w:rPr>
                <w:b/>
                <w:noProof/>
                <w:sz w:val="18"/>
              </w:rPr>
            </w:pPr>
            <w:r w:rsidRPr="00887F6C">
              <w:rPr>
                <w:b/>
                <w:noProof/>
                <w:sz w:val="18"/>
              </w:rPr>
              <w:t>2027</w:t>
            </w:r>
          </w:p>
        </w:tc>
        <w:tc>
          <w:tcPr>
            <w:tcW w:w="909" w:type="dxa"/>
          </w:tcPr>
          <w:p w14:paraId="14227525" w14:textId="77777777" w:rsidR="00264CE9" w:rsidRPr="00887F6C" w:rsidRDefault="00264CE9" w:rsidP="000727A1">
            <w:pPr>
              <w:jc w:val="center"/>
              <w:rPr>
                <w:b/>
                <w:i/>
                <w:noProof/>
                <w:sz w:val="20"/>
              </w:rPr>
            </w:pPr>
            <w:r w:rsidRPr="00887F6C">
              <w:rPr>
                <w:b/>
                <w:i/>
                <w:noProof/>
                <w:sz w:val="20"/>
              </w:rPr>
              <w:t>După 2027</w:t>
            </w:r>
          </w:p>
        </w:tc>
        <w:tc>
          <w:tcPr>
            <w:tcW w:w="1289" w:type="dxa"/>
            <w:vAlign w:val="center"/>
          </w:tcPr>
          <w:p w14:paraId="08F4D247" w14:textId="77777777" w:rsidR="00264CE9" w:rsidRPr="00887F6C" w:rsidRDefault="00264CE9" w:rsidP="000727A1">
            <w:pPr>
              <w:jc w:val="center"/>
              <w:rPr>
                <w:b/>
                <w:noProof/>
                <w:sz w:val="20"/>
              </w:rPr>
            </w:pPr>
            <w:r w:rsidRPr="00887F6C">
              <w:rPr>
                <w:b/>
                <w:noProof/>
                <w:sz w:val="20"/>
              </w:rPr>
              <w:t>TOTAL</w:t>
            </w:r>
          </w:p>
        </w:tc>
      </w:tr>
      <w:tr w:rsidR="00264CE9" w:rsidRPr="00887F6C" w14:paraId="0538F88F" w14:textId="77777777" w:rsidTr="6948CE82">
        <w:trPr>
          <w:trHeight w:val="433"/>
          <w:jc w:val="center"/>
        </w:trPr>
        <w:tc>
          <w:tcPr>
            <w:tcW w:w="4103" w:type="dxa"/>
            <w:vMerge w:val="restart"/>
            <w:vAlign w:val="center"/>
          </w:tcPr>
          <w:p w14:paraId="60681299" w14:textId="77777777" w:rsidR="00264CE9" w:rsidRPr="00887F6C" w:rsidRDefault="00264CE9" w:rsidP="000727A1">
            <w:pPr>
              <w:rPr>
                <w:noProof/>
              </w:rPr>
            </w:pPr>
            <w:r w:rsidRPr="00887F6C">
              <w:rPr>
                <w:noProof/>
                <w:sz w:val="20"/>
              </w:rPr>
              <w:t xml:space="preserve">Credite operaționale (repartizate în funcție de liniile bugetare menționate la punctul 3.1) </w:t>
            </w:r>
          </w:p>
        </w:tc>
        <w:tc>
          <w:tcPr>
            <w:tcW w:w="1440" w:type="dxa"/>
            <w:vAlign w:val="center"/>
          </w:tcPr>
          <w:p w14:paraId="139E54DF" w14:textId="77777777" w:rsidR="00264CE9" w:rsidRPr="00887F6C" w:rsidRDefault="00264CE9" w:rsidP="000727A1">
            <w:pPr>
              <w:spacing w:before="20" w:after="20"/>
              <w:jc w:val="left"/>
              <w:rPr>
                <w:noProof/>
                <w:sz w:val="18"/>
              </w:rPr>
            </w:pPr>
            <w:r w:rsidRPr="00887F6C">
              <w:rPr>
                <w:noProof/>
                <w:sz w:val="18"/>
              </w:rPr>
              <w:t>Angajamente</w:t>
            </w:r>
            <w:r w:rsidRPr="00887F6C">
              <w:rPr>
                <w:rStyle w:val="Referinnotdesubsol"/>
                <w:noProof/>
                <w:sz w:val="18"/>
              </w:rPr>
              <w:footnoteReference w:id="34"/>
            </w:r>
          </w:p>
        </w:tc>
        <w:tc>
          <w:tcPr>
            <w:tcW w:w="654" w:type="dxa"/>
            <w:vAlign w:val="center"/>
          </w:tcPr>
          <w:p w14:paraId="3C2AA7F5" w14:textId="77777777" w:rsidR="00264CE9" w:rsidRPr="00887F6C" w:rsidRDefault="00264CE9" w:rsidP="000727A1">
            <w:pPr>
              <w:spacing w:before="20" w:after="20"/>
              <w:jc w:val="center"/>
              <w:rPr>
                <w:noProof/>
                <w:sz w:val="14"/>
              </w:rPr>
            </w:pPr>
            <w:r w:rsidRPr="00887F6C">
              <w:rPr>
                <w:noProof/>
                <w:sz w:val="14"/>
              </w:rPr>
              <w:t>(1)</w:t>
            </w:r>
          </w:p>
        </w:tc>
        <w:tc>
          <w:tcPr>
            <w:tcW w:w="868" w:type="dxa"/>
            <w:vAlign w:val="center"/>
          </w:tcPr>
          <w:p w14:paraId="4B7A3DA4" w14:textId="77777777" w:rsidR="00264CE9" w:rsidRPr="00887F6C" w:rsidRDefault="00264CE9" w:rsidP="000727A1">
            <w:pPr>
              <w:spacing w:before="20" w:after="20"/>
              <w:jc w:val="right"/>
              <w:rPr>
                <w:noProof/>
                <w:sz w:val="20"/>
              </w:rPr>
            </w:pPr>
          </w:p>
        </w:tc>
        <w:tc>
          <w:tcPr>
            <w:tcW w:w="868" w:type="dxa"/>
            <w:vAlign w:val="center"/>
          </w:tcPr>
          <w:p w14:paraId="2B9B9C0A" w14:textId="77777777" w:rsidR="00264CE9" w:rsidRPr="00887F6C" w:rsidRDefault="00264CE9" w:rsidP="000727A1">
            <w:pPr>
              <w:spacing w:before="20" w:after="20"/>
              <w:jc w:val="right"/>
              <w:rPr>
                <w:noProof/>
                <w:sz w:val="20"/>
              </w:rPr>
            </w:pPr>
          </w:p>
        </w:tc>
        <w:tc>
          <w:tcPr>
            <w:tcW w:w="868" w:type="dxa"/>
            <w:vAlign w:val="center"/>
          </w:tcPr>
          <w:p w14:paraId="0BBDEED9" w14:textId="77777777" w:rsidR="00264CE9" w:rsidRPr="00887F6C" w:rsidRDefault="00264CE9" w:rsidP="000727A1">
            <w:pPr>
              <w:spacing w:before="20" w:after="20"/>
              <w:jc w:val="right"/>
              <w:rPr>
                <w:noProof/>
                <w:sz w:val="20"/>
              </w:rPr>
            </w:pPr>
          </w:p>
        </w:tc>
        <w:tc>
          <w:tcPr>
            <w:tcW w:w="868" w:type="dxa"/>
            <w:vAlign w:val="center"/>
          </w:tcPr>
          <w:p w14:paraId="1080ABB0" w14:textId="77777777" w:rsidR="00264CE9" w:rsidRPr="00887F6C" w:rsidRDefault="00264CE9" w:rsidP="000727A1">
            <w:pPr>
              <w:spacing w:before="20" w:after="20"/>
              <w:jc w:val="right"/>
              <w:rPr>
                <w:noProof/>
                <w:sz w:val="20"/>
              </w:rPr>
            </w:pPr>
          </w:p>
        </w:tc>
        <w:tc>
          <w:tcPr>
            <w:tcW w:w="868" w:type="dxa"/>
            <w:vAlign w:val="center"/>
          </w:tcPr>
          <w:p w14:paraId="334742E6" w14:textId="77777777" w:rsidR="00264CE9" w:rsidRPr="00887F6C" w:rsidRDefault="00264CE9" w:rsidP="73C0F938">
            <w:pPr>
              <w:spacing w:before="20" w:after="20"/>
              <w:jc w:val="right"/>
              <w:rPr>
                <w:noProof/>
                <w:sz w:val="20"/>
                <w:szCs w:val="20"/>
              </w:rPr>
            </w:pPr>
            <w:r w:rsidRPr="00887F6C">
              <w:rPr>
                <w:noProof/>
                <w:sz w:val="20"/>
              </w:rPr>
              <w:t>34,100</w:t>
            </w:r>
          </w:p>
        </w:tc>
        <w:tc>
          <w:tcPr>
            <w:tcW w:w="868" w:type="dxa"/>
            <w:vAlign w:val="center"/>
          </w:tcPr>
          <w:p w14:paraId="4FDE41BA" w14:textId="77777777" w:rsidR="00264CE9" w:rsidRPr="00887F6C" w:rsidRDefault="00264CE9" w:rsidP="73C0F938">
            <w:pPr>
              <w:spacing w:before="20" w:after="20"/>
              <w:jc w:val="right"/>
              <w:rPr>
                <w:noProof/>
                <w:sz w:val="20"/>
                <w:szCs w:val="20"/>
              </w:rPr>
            </w:pPr>
            <w:r w:rsidRPr="00887F6C">
              <w:rPr>
                <w:noProof/>
                <w:sz w:val="20"/>
              </w:rPr>
              <w:t>34,100</w:t>
            </w:r>
          </w:p>
        </w:tc>
        <w:tc>
          <w:tcPr>
            <w:tcW w:w="868" w:type="dxa"/>
            <w:vAlign w:val="center"/>
          </w:tcPr>
          <w:p w14:paraId="1C8C640C" w14:textId="77777777" w:rsidR="00264CE9" w:rsidRPr="00887F6C" w:rsidRDefault="00264CE9" w:rsidP="73C0F938">
            <w:pPr>
              <w:spacing w:before="20" w:after="20"/>
              <w:jc w:val="right"/>
              <w:rPr>
                <w:noProof/>
                <w:sz w:val="20"/>
                <w:szCs w:val="20"/>
              </w:rPr>
            </w:pPr>
            <w:r w:rsidRPr="00887F6C">
              <w:rPr>
                <w:noProof/>
                <w:sz w:val="20"/>
              </w:rPr>
              <w:t>36,800</w:t>
            </w:r>
          </w:p>
        </w:tc>
        <w:tc>
          <w:tcPr>
            <w:tcW w:w="909" w:type="dxa"/>
            <w:shd w:val="clear" w:color="auto" w:fill="A6A6A6" w:themeFill="background1" w:themeFillShade="A6"/>
          </w:tcPr>
          <w:p w14:paraId="50E6F447" w14:textId="77777777" w:rsidR="00264CE9" w:rsidRPr="00887F6C" w:rsidRDefault="3B87E912" w:rsidP="73C0F938">
            <w:pPr>
              <w:spacing w:before="20" w:after="20"/>
              <w:jc w:val="right"/>
              <w:rPr>
                <w:noProof/>
                <w:sz w:val="20"/>
                <w:szCs w:val="20"/>
              </w:rPr>
            </w:pPr>
            <w:r w:rsidRPr="00887F6C">
              <w:rPr>
                <w:noProof/>
                <w:sz w:val="20"/>
              </w:rPr>
              <w:t>0</w:t>
            </w:r>
          </w:p>
        </w:tc>
        <w:tc>
          <w:tcPr>
            <w:tcW w:w="1289" w:type="dxa"/>
            <w:vAlign w:val="center"/>
          </w:tcPr>
          <w:p w14:paraId="4736326A" w14:textId="77777777" w:rsidR="00264CE9" w:rsidRPr="00887F6C" w:rsidRDefault="5EDE5AC7" w:rsidP="73C0F938">
            <w:pPr>
              <w:spacing w:before="20" w:after="20"/>
              <w:jc w:val="right"/>
              <w:rPr>
                <w:b/>
                <w:bCs/>
                <w:noProof/>
                <w:sz w:val="20"/>
                <w:szCs w:val="20"/>
              </w:rPr>
            </w:pPr>
            <w:r w:rsidRPr="00887F6C">
              <w:rPr>
                <w:b/>
                <w:noProof/>
                <w:sz w:val="20"/>
              </w:rPr>
              <w:t>105,000</w:t>
            </w:r>
          </w:p>
        </w:tc>
      </w:tr>
      <w:tr w:rsidR="00264CE9" w:rsidRPr="00887F6C" w14:paraId="7CFF1608" w14:textId="77777777" w:rsidTr="6948CE82">
        <w:trPr>
          <w:trHeight w:val="411"/>
          <w:jc w:val="center"/>
        </w:trPr>
        <w:tc>
          <w:tcPr>
            <w:tcW w:w="4103" w:type="dxa"/>
            <w:vMerge/>
          </w:tcPr>
          <w:p w14:paraId="75A43693" w14:textId="77777777" w:rsidR="00264CE9" w:rsidRPr="00887F6C" w:rsidRDefault="00264CE9" w:rsidP="000727A1">
            <w:pPr>
              <w:jc w:val="center"/>
              <w:rPr>
                <w:noProof/>
                <w:sz w:val="20"/>
              </w:rPr>
            </w:pPr>
          </w:p>
        </w:tc>
        <w:tc>
          <w:tcPr>
            <w:tcW w:w="1440" w:type="dxa"/>
            <w:vAlign w:val="center"/>
          </w:tcPr>
          <w:p w14:paraId="37CEA12F" w14:textId="77777777" w:rsidR="00264CE9" w:rsidRPr="00887F6C" w:rsidRDefault="00264CE9" w:rsidP="000727A1">
            <w:pPr>
              <w:spacing w:before="20" w:after="20"/>
              <w:jc w:val="left"/>
              <w:rPr>
                <w:noProof/>
                <w:sz w:val="18"/>
              </w:rPr>
            </w:pPr>
            <w:r w:rsidRPr="00887F6C">
              <w:rPr>
                <w:noProof/>
                <w:sz w:val="18"/>
              </w:rPr>
              <w:t>Plăți</w:t>
            </w:r>
            <w:r w:rsidRPr="00887F6C">
              <w:rPr>
                <w:rStyle w:val="Referinnotdesubsol"/>
                <w:noProof/>
                <w:sz w:val="18"/>
              </w:rPr>
              <w:footnoteReference w:id="35"/>
            </w:r>
          </w:p>
        </w:tc>
        <w:tc>
          <w:tcPr>
            <w:tcW w:w="654" w:type="dxa"/>
            <w:vAlign w:val="center"/>
          </w:tcPr>
          <w:p w14:paraId="0D0A649D" w14:textId="77777777" w:rsidR="00264CE9" w:rsidRPr="00887F6C" w:rsidRDefault="00264CE9" w:rsidP="000727A1">
            <w:pPr>
              <w:spacing w:before="20" w:after="20"/>
              <w:jc w:val="center"/>
              <w:rPr>
                <w:noProof/>
                <w:sz w:val="14"/>
              </w:rPr>
            </w:pPr>
            <w:r w:rsidRPr="00887F6C">
              <w:rPr>
                <w:noProof/>
                <w:sz w:val="14"/>
              </w:rPr>
              <w:t>(2)</w:t>
            </w:r>
          </w:p>
        </w:tc>
        <w:tc>
          <w:tcPr>
            <w:tcW w:w="868" w:type="dxa"/>
            <w:vAlign w:val="center"/>
          </w:tcPr>
          <w:p w14:paraId="62C29B06" w14:textId="77777777" w:rsidR="00264CE9" w:rsidRPr="00887F6C" w:rsidRDefault="00264CE9" w:rsidP="000727A1">
            <w:pPr>
              <w:spacing w:before="20" w:after="20"/>
              <w:jc w:val="right"/>
              <w:rPr>
                <w:noProof/>
                <w:sz w:val="20"/>
              </w:rPr>
            </w:pPr>
          </w:p>
        </w:tc>
        <w:tc>
          <w:tcPr>
            <w:tcW w:w="868" w:type="dxa"/>
            <w:vAlign w:val="center"/>
          </w:tcPr>
          <w:p w14:paraId="5EC213AA" w14:textId="77777777" w:rsidR="00264CE9" w:rsidRPr="00887F6C" w:rsidRDefault="00264CE9" w:rsidP="000727A1">
            <w:pPr>
              <w:spacing w:before="20" w:after="20"/>
              <w:jc w:val="right"/>
              <w:rPr>
                <w:noProof/>
                <w:sz w:val="20"/>
              </w:rPr>
            </w:pPr>
          </w:p>
        </w:tc>
        <w:tc>
          <w:tcPr>
            <w:tcW w:w="868" w:type="dxa"/>
            <w:vAlign w:val="center"/>
          </w:tcPr>
          <w:p w14:paraId="56793C78" w14:textId="77777777" w:rsidR="00264CE9" w:rsidRPr="00887F6C" w:rsidRDefault="00264CE9" w:rsidP="000727A1">
            <w:pPr>
              <w:spacing w:before="20" w:after="20"/>
              <w:jc w:val="right"/>
              <w:rPr>
                <w:noProof/>
                <w:sz w:val="20"/>
              </w:rPr>
            </w:pPr>
          </w:p>
        </w:tc>
        <w:tc>
          <w:tcPr>
            <w:tcW w:w="868" w:type="dxa"/>
            <w:vAlign w:val="center"/>
          </w:tcPr>
          <w:p w14:paraId="0411AE06" w14:textId="77777777" w:rsidR="00264CE9" w:rsidRPr="00887F6C" w:rsidRDefault="00264CE9" w:rsidP="000727A1">
            <w:pPr>
              <w:spacing w:before="20" w:after="20"/>
              <w:jc w:val="right"/>
              <w:rPr>
                <w:noProof/>
                <w:sz w:val="20"/>
              </w:rPr>
            </w:pPr>
          </w:p>
        </w:tc>
        <w:tc>
          <w:tcPr>
            <w:tcW w:w="868" w:type="dxa"/>
            <w:vAlign w:val="center"/>
          </w:tcPr>
          <w:p w14:paraId="354DDB45" w14:textId="77777777" w:rsidR="00264CE9" w:rsidRPr="00887F6C" w:rsidRDefault="36BC1506" w:rsidP="73C0F938">
            <w:pPr>
              <w:spacing w:before="20" w:after="20"/>
              <w:jc w:val="right"/>
              <w:rPr>
                <w:noProof/>
                <w:sz w:val="20"/>
                <w:szCs w:val="20"/>
              </w:rPr>
            </w:pPr>
            <w:r w:rsidRPr="00887F6C">
              <w:rPr>
                <w:noProof/>
                <w:sz w:val="20"/>
              </w:rPr>
              <w:t>1,200</w:t>
            </w:r>
          </w:p>
        </w:tc>
        <w:tc>
          <w:tcPr>
            <w:tcW w:w="868" w:type="dxa"/>
            <w:vAlign w:val="center"/>
          </w:tcPr>
          <w:p w14:paraId="06E1BDA9" w14:textId="77777777" w:rsidR="00264CE9" w:rsidRPr="00887F6C" w:rsidRDefault="7A74DA0F" w:rsidP="73C0F938">
            <w:pPr>
              <w:spacing w:before="20" w:after="20"/>
              <w:jc w:val="right"/>
              <w:rPr>
                <w:noProof/>
                <w:sz w:val="20"/>
                <w:szCs w:val="20"/>
              </w:rPr>
            </w:pPr>
            <w:r w:rsidRPr="00887F6C">
              <w:rPr>
                <w:noProof/>
                <w:sz w:val="20"/>
              </w:rPr>
              <w:t>20,940</w:t>
            </w:r>
          </w:p>
        </w:tc>
        <w:tc>
          <w:tcPr>
            <w:tcW w:w="868" w:type="dxa"/>
            <w:vAlign w:val="center"/>
          </w:tcPr>
          <w:p w14:paraId="1D35BCD6" w14:textId="77777777" w:rsidR="00264CE9" w:rsidRPr="00887F6C" w:rsidRDefault="312A7A14" w:rsidP="73C0F938">
            <w:pPr>
              <w:spacing w:before="20" w:after="20"/>
              <w:jc w:val="right"/>
              <w:rPr>
                <w:noProof/>
                <w:sz w:val="20"/>
                <w:szCs w:val="20"/>
              </w:rPr>
            </w:pPr>
            <w:r w:rsidRPr="00887F6C">
              <w:rPr>
                <w:noProof/>
                <w:sz w:val="20"/>
              </w:rPr>
              <w:t>20,940</w:t>
            </w:r>
          </w:p>
        </w:tc>
        <w:tc>
          <w:tcPr>
            <w:tcW w:w="909" w:type="dxa"/>
            <w:vAlign w:val="center"/>
          </w:tcPr>
          <w:p w14:paraId="319A1950" w14:textId="77777777" w:rsidR="00264CE9" w:rsidRPr="00887F6C" w:rsidRDefault="00264CE9" w:rsidP="73C0F938">
            <w:pPr>
              <w:spacing w:before="20" w:after="20"/>
              <w:jc w:val="right"/>
              <w:rPr>
                <w:noProof/>
                <w:sz w:val="20"/>
                <w:szCs w:val="20"/>
              </w:rPr>
            </w:pPr>
            <w:r w:rsidRPr="00887F6C">
              <w:rPr>
                <w:noProof/>
                <w:sz w:val="20"/>
              </w:rPr>
              <w:t>61,920</w:t>
            </w:r>
          </w:p>
        </w:tc>
        <w:tc>
          <w:tcPr>
            <w:tcW w:w="1289" w:type="dxa"/>
            <w:vAlign w:val="center"/>
          </w:tcPr>
          <w:p w14:paraId="7FC9D50B" w14:textId="77777777" w:rsidR="00264CE9" w:rsidRPr="00887F6C" w:rsidRDefault="09A9AC79" w:rsidP="73C0F938">
            <w:pPr>
              <w:spacing w:before="20" w:after="20"/>
              <w:jc w:val="right"/>
              <w:rPr>
                <w:b/>
                <w:bCs/>
                <w:noProof/>
                <w:sz w:val="20"/>
                <w:szCs w:val="20"/>
              </w:rPr>
            </w:pPr>
            <w:r w:rsidRPr="00887F6C">
              <w:rPr>
                <w:b/>
                <w:noProof/>
                <w:sz w:val="20"/>
              </w:rPr>
              <w:t>105,000</w:t>
            </w:r>
          </w:p>
        </w:tc>
      </w:tr>
      <w:tr w:rsidR="00264CE9" w:rsidRPr="00887F6C" w14:paraId="3DAA2B1E" w14:textId="77777777" w:rsidTr="6948CE82">
        <w:trPr>
          <w:trHeight w:val="319"/>
          <w:jc w:val="center"/>
        </w:trPr>
        <w:tc>
          <w:tcPr>
            <w:tcW w:w="4103" w:type="dxa"/>
            <w:vAlign w:val="center"/>
          </w:tcPr>
          <w:p w14:paraId="60FD27AA" w14:textId="77777777" w:rsidR="00264CE9" w:rsidRPr="00887F6C" w:rsidRDefault="38EAB029" w:rsidP="000727A1">
            <w:pPr>
              <w:spacing w:before="20" w:after="20"/>
              <w:jc w:val="left"/>
              <w:rPr>
                <w:noProof/>
              </w:rPr>
            </w:pPr>
            <w:r w:rsidRPr="00887F6C">
              <w:rPr>
                <w:noProof/>
                <w:sz w:val="20"/>
              </w:rPr>
              <w:t>Credite cu caracter administrativ finanțate din bugetul programului</w:t>
            </w:r>
            <w:r w:rsidRPr="00887F6C">
              <w:rPr>
                <w:rStyle w:val="Referinnotdesubsol"/>
                <w:noProof/>
                <w:sz w:val="20"/>
              </w:rPr>
              <w:footnoteReference w:id="36"/>
            </w:r>
            <w:r w:rsidRPr="00887F6C">
              <w:rPr>
                <w:noProof/>
                <w:sz w:val="21"/>
              </w:rPr>
              <w:t xml:space="preserve"> </w:t>
            </w:r>
          </w:p>
        </w:tc>
        <w:tc>
          <w:tcPr>
            <w:tcW w:w="1440" w:type="dxa"/>
            <w:vAlign w:val="center"/>
          </w:tcPr>
          <w:p w14:paraId="6AE7A136" w14:textId="77777777" w:rsidR="00264CE9" w:rsidRPr="00887F6C" w:rsidRDefault="00264CE9" w:rsidP="000727A1">
            <w:pPr>
              <w:spacing w:before="40" w:after="40"/>
              <w:jc w:val="left"/>
              <w:rPr>
                <w:noProof/>
                <w:sz w:val="18"/>
              </w:rPr>
            </w:pPr>
            <w:r w:rsidRPr="00887F6C">
              <w:rPr>
                <w:noProof/>
                <w:sz w:val="18"/>
              </w:rPr>
              <w:t>Angajamente = Plăți</w:t>
            </w:r>
          </w:p>
        </w:tc>
        <w:tc>
          <w:tcPr>
            <w:tcW w:w="654" w:type="dxa"/>
            <w:vAlign w:val="center"/>
          </w:tcPr>
          <w:p w14:paraId="53208981" w14:textId="77777777" w:rsidR="00264CE9" w:rsidRPr="00887F6C" w:rsidRDefault="00264CE9" w:rsidP="000727A1">
            <w:pPr>
              <w:spacing w:before="40" w:after="40"/>
              <w:jc w:val="center"/>
              <w:rPr>
                <w:noProof/>
                <w:sz w:val="14"/>
              </w:rPr>
            </w:pPr>
            <w:r w:rsidRPr="00887F6C">
              <w:rPr>
                <w:noProof/>
                <w:sz w:val="14"/>
              </w:rPr>
              <w:t>(3)</w:t>
            </w:r>
          </w:p>
        </w:tc>
        <w:tc>
          <w:tcPr>
            <w:tcW w:w="868" w:type="dxa"/>
          </w:tcPr>
          <w:p w14:paraId="2248017E" w14:textId="77777777" w:rsidR="00264CE9" w:rsidRPr="00887F6C" w:rsidRDefault="00264CE9" w:rsidP="000727A1">
            <w:pPr>
              <w:spacing w:before="40" w:after="40"/>
              <w:jc w:val="right"/>
              <w:rPr>
                <w:b/>
                <w:noProof/>
                <w:sz w:val="20"/>
              </w:rPr>
            </w:pPr>
          </w:p>
        </w:tc>
        <w:tc>
          <w:tcPr>
            <w:tcW w:w="868" w:type="dxa"/>
          </w:tcPr>
          <w:p w14:paraId="3F6DFA44" w14:textId="77777777" w:rsidR="00264CE9" w:rsidRPr="00887F6C" w:rsidRDefault="00264CE9">
            <w:pPr>
              <w:spacing w:before="40" w:after="40"/>
              <w:jc w:val="right"/>
              <w:rPr>
                <w:b/>
                <w:noProof/>
                <w:sz w:val="20"/>
              </w:rPr>
            </w:pPr>
          </w:p>
        </w:tc>
        <w:tc>
          <w:tcPr>
            <w:tcW w:w="868" w:type="dxa"/>
          </w:tcPr>
          <w:p w14:paraId="7926E515" w14:textId="77777777" w:rsidR="00264CE9" w:rsidRPr="00887F6C" w:rsidRDefault="00264CE9">
            <w:pPr>
              <w:spacing w:before="40" w:after="40"/>
              <w:jc w:val="right"/>
              <w:rPr>
                <w:b/>
                <w:noProof/>
                <w:sz w:val="20"/>
              </w:rPr>
            </w:pPr>
          </w:p>
        </w:tc>
        <w:tc>
          <w:tcPr>
            <w:tcW w:w="868" w:type="dxa"/>
          </w:tcPr>
          <w:p w14:paraId="642F436C" w14:textId="77777777" w:rsidR="00264CE9" w:rsidRPr="00887F6C" w:rsidRDefault="00264CE9">
            <w:pPr>
              <w:spacing w:before="40" w:after="40"/>
              <w:jc w:val="right"/>
              <w:rPr>
                <w:b/>
                <w:noProof/>
                <w:sz w:val="20"/>
              </w:rPr>
            </w:pPr>
          </w:p>
        </w:tc>
        <w:tc>
          <w:tcPr>
            <w:tcW w:w="868" w:type="dxa"/>
          </w:tcPr>
          <w:p w14:paraId="043A7C8D" w14:textId="77777777" w:rsidR="00264CE9" w:rsidRPr="00887F6C" w:rsidRDefault="19298A80" w:rsidP="73C0F938">
            <w:pPr>
              <w:spacing w:before="40" w:after="40"/>
              <w:jc w:val="right"/>
              <w:rPr>
                <w:b/>
                <w:bCs/>
                <w:noProof/>
                <w:sz w:val="20"/>
                <w:szCs w:val="20"/>
              </w:rPr>
            </w:pPr>
            <w:r w:rsidRPr="00887F6C">
              <w:rPr>
                <w:noProof/>
                <w:sz w:val="20"/>
              </w:rPr>
              <w:t>0,147</w:t>
            </w:r>
          </w:p>
        </w:tc>
        <w:tc>
          <w:tcPr>
            <w:tcW w:w="868" w:type="dxa"/>
          </w:tcPr>
          <w:p w14:paraId="52C8D96E" w14:textId="77777777" w:rsidR="00264CE9" w:rsidRPr="00887F6C" w:rsidRDefault="00264CE9" w:rsidP="73C0F938">
            <w:pPr>
              <w:spacing w:before="40" w:after="40"/>
              <w:jc w:val="right"/>
              <w:rPr>
                <w:b/>
                <w:bCs/>
                <w:noProof/>
                <w:sz w:val="20"/>
                <w:szCs w:val="20"/>
              </w:rPr>
            </w:pPr>
            <w:r w:rsidRPr="00887F6C">
              <w:rPr>
                <w:noProof/>
                <w:sz w:val="20"/>
              </w:rPr>
              <w:t xml:space="preserve"> 0,097 </w:t>
            </w:r>
          </w:p>
        </w:tc>
        <w:tc>
          <w:tcPr>
            <w:tcW w:w="868" w:type="dxa"/>
          </w:tcPr>
          <w:p w14:paraId="7E4A313E" w14:textId="77777777" w:rsidR="00264CE9" w:rsidRPr="00887F6C" w:rsidRDefault="08604525" w:rsidP="73C0F938">
            <w:pPr>
              <w:spacing w:before="40" w:after="40"/>
              <w:jc w:val="right"/>
              <w:rPr>
                <w:b/>
                <w:bCs/>
                <w:noProof/>
                <w:sz w:val="20"/>
                <w:szCs w:val="20"/>
              </w:rPr>
            </w:pPr>
            <w:r w:rsidRPr="00887F6C">
              <w:rPr>
                <w:noProof/>
                <w:sz w:val="20"/>
              </w:rPr>
              <w:t>0,097</w:t>
            </w:r>
          </w:p>
        </w:tc>
        <w:tc>
          <w:tcPr>
            <w:tcW w:w="909" w:type="dxa"/>
            <w:shd w:val="clear" w:color="auto" w:fill="A6A6A6" w:themeFill="background1" w:themeFillShade="A6"/>
          </w:tcPr>
          <w:p w14:paraId="7F500105" w14:textId="77777777" w:rsidR="00264CE9" w:rsidRPr="00887F6C" w:rsidRDefault="006F4BA9" w:rsidP="006F4BA9">
            <w:pPr>
              <w:spacing w:before="40" w:after="40"/>
              <w:jc w:val="right"/>
              <w:rPr>
                <w:noProof/>
                <w:sz w:val="20"/>
                <w:szCs w:val="20"/>
              </w:rPr>
            </w:pPr>
            <w:r w:rsidRPr="00887F6C">
              <w:rPr>
                <w:noProof/>
                <w:sz w:val="20"/>
              </w:rPr>
              <w:t>0</w:t>
            </w:r>
          </w:p>
        </w:tc>
        <w:tc>
          <w:tcPr>
            <w:tcW w:w="1289" w:type="dxa"/>
          </w:tcPr>
          <w:p w14:paraId="3B44136E" w14:textId="77777777" w:rsidR="00264CE9" w:rsidRPr="00887F6C" w:rsidRDefault="57BA15A6" w:rsidP="73C0F938">
            <w:pPr>
              <w:spacing w:before="40" w:after="40"/>
              <w:jc w:val="right"/>
              <w:rPr>
                <w:b/>
                <w:bCs/>
                <w:noProof/>
                <w:sz w:val="20"/>
                <w:szCs w:val="20"/>
              </w:rPr>
            </w:pPr>
            <w:r w:rsidRPr="00887F6C">
              <w:rPr>
                <w:noProof/>
                <w:sz w:val="20"/>
              </w:rPr>
              <w:t xml:space="preserve">0,341 </w:t>
            </w:r>
          </w:p>
        </w:tc>
      </w:tr>
      <w:tr w:rsidR="00264CE9" w:rsidRPr="00887F6C" w14:paraId="4773040A" w14:textId="77777777" w:rsidTr="6948CE82">
        <w:trPr>
          <w:jc w:val="center"/>
        </w:trPr>
        <w:tc>
          <w:tcPr>
            <w:tcW w:w="4103" w:type="dxa"/>
            <w:vMerge w:val="restart"/>
            <w:vAlign w:val="center"/>
          </w:tcPr>
          <w:p w14:paraId="4444F4AA" w14:textId="77777777" w:rsidR="00264CE9" w:rsidRPr="00887F6C" w:rsidRDefault="00264CE9" w:rsidP="000727A1">
            <w:pPr>
              <w:jc w:val="left"/>
              <w:rPr>
                <w:b/>
                <w:noProof/>
              </w:rPr>
            </w:pPr>
            <w:r w:rsidRPr="00887F6C">
              <w:rPr>
                <w:b/>
                <w:noProof/>
                <w:sz w:val="22"/>
              </w:rPr>
              <w:t>TOTAL credite pentru bugetul programului</w:t>
            </w:r>
          </w:p>
        </w:tc>
        <w:tc>
          <w:tcPr>
            <w:tcW w:w="1440" w:type="dxa"/>
            <w:vAlign w:val="center"/>
          </w:tcPr>
          <w:p w14:paraId="246B04A3" w14:textId="77777777" w:rsidR="00264CE9" w:rsidRPr="00887F6C" w:rsidRDefault="00264CE9" w:rsidP="000727A1">
            <w:pPr>
              <w:jc w:val="left"/>
              <w:rPr>
                <w:noProof/>
                <w:sz w:val="18"/>
              </w:rPr>
            </w:pPr>
            <w:r w:rsidRPr="00887F6C">
              <w:rPr>
                <w:noProof/>
                <w:sz w:val="18"/>
              </w:rPr>
              <w:t>Angajamente</w:t>
            </w:r>
          </w:p>
        </w:tc>
        <w:tc>
          <w:tcPr>
            <w:tcW w:w="654" w:type="dxa"/>
            <w:vAlign w:val="center"/>
          </w:tcPr>
          <w:p w14:paraId="389DA3C0" w14:textId="77777777" w:rsidR="00264CE9" w:rsidRPr="00887F6C" w:rsidRDefault="00264CE9" w:rsidP="000727A1">
            <w:pPr>
              <w:jc w:val="center"/>
              <w:rPr>
                <w:noProof/>
                <w:sz w:val="14"/>
              </w:rPr>
            </w:pPr>
            <w:r w:rsidRPr="00887F6C">
              <w:rPr>
                <w:noProof/>
                <w:sz w:val="14"/>
              </w:rPr>
              <w:t>= 1 + 3</w:t>
            </w:r>
          </w:p>
        </w:tc>
        <w:tc>
          <w:tcPr>
            <w:tcW w:w="868" w:type="dxa"/>
            <w:vAlign w:val="center"/>
          </w:tcPr>
          <w:p w14:paraId="129FE1FB" w14:textId="77777777" w:rsidR="00264CE9" w:rsidRPr="00887F6C" w:rsidRDefault="00264CE9" w:rsidP="000727A1">
            <w:pPr>
              <w:spacing w:before="20" w:after="20"/>
              <w:jc w:val="right"/>
              <w:rPr>
                <w:noProof/>
                <w:sz w:val="20"/>
              </w:rPr>
            </w:pPr>
          </w:p>
        </w:tc>
        <w:tc>
          <w:tcPr>
            <w:tcW w:w="868" w:type="dxa"/>
            <w:vAlign w:val="center"/>
          </w:tcPr>
          <w:p w14:paraId="1AAD1CDF" w14:textId="77777777" w:rsidR="00264CE9" w:rsidRPr="00887F6C" w:rsidRDefault="00264CE9" w:rsidP="000727A1">
            <w:pPr>
              <w:spacing w:before="20" w:after="20"/>
              <w:jc w:val="right"/>
              <w:rPr>
                <w:noProof/>
                <w:sz w:val="20"/>
              </w:rPr>
            </w:pPr>
          </w:p>
        </w:tc>
        <w:tc>
          <w:tcPr>
            <w:tcW w:w="868" w:type="dxa"/>
            <w:vAlign w:val="center"/>
          </w:tcPr>
          <w:p w14:paraId="7E3963CF" w14:textId="77777777" w:rsidR="00264CE9" w:rsidRPr="00887F6C" w:rsidRDefault="00264CE9" w:rsidP="000727A1">
            <w:pPr>
              <w:spacing w:before="20" w:after="20"/>
              <w:jc w:val="right"/>
              <w:rPr>
                <w:noProof/>
                <w:sz w:val="20"/>
              </w:rPr>
            </w:pPr>
          </w:p>
        </w:tc>
        <w:tc>
          <w:tcPr>
            <w:tcW w:w="868" w:type="dxa"/>
            <w:vAlign w:val="center"/>
          </w:tcPr>
          <w:p w14:paraId="7AB7035E" w14:textId="77777777" w:rsidR="00264CE9" w:rsidRPr="00887F6C" w:rsidRDefault="00264CE9" w:rsidP="000727A1">
            <w:pPr>
              <w:spacing w:before="20" w:after="20"/>
              <w:jc w:val="right"/>
              <w:rPr>
                <w:noProof/>
                <w:sz w:val="20"/>
              </w:rPr>
            </w:pPr>
          </w:p>
        </w:tc>
        <w:tc>
          <w:tcPr>
            <w:tcW w:w="868" w:type="dxa"/>
            <w:vAlign w:val="center"/>
          </w:tcPr>
          <w:p w14:paraId="5A092110" w14:textId="77777777" w:rsidR="00264CE9" w:rsidRPr="00887F6C" w:rsidRDefault="00264CE9" w:rsidP="73C0F938">
            <w:pPr>
              <w:spacing w:before="20" w:after="20"/>
              <w:jc w:val="right"/>
              <w:rPr>
                <w:noProof/>
                <w:sz w:val="20"/>
                <w:szCs w:val="20"/>
              </w:rPr>
            </w:pPr>
            <w:r w:rsidRPr="00887F6C">
              <w:rPr>
                <w:noProof/>
                <w:sz w:val="20"/>
              </w:rPr>
              <w:t>32,247</w:t>
            </w:r>
          </w:p>
        </w:tc>
        <w:tc>
          <w:tcPr>
            <w:tcW w:w="868" w:type="dxa"/>
            <w:vAlign w:val="center"/>
          </w:tcPr>
          <w:p w14:paraId="2B463CA7" w14:textId="77777777" w:rsidR="00264CE9" w:rsidRPr="00887F6C" w:rsidRDefault="00264CE9" w:rsidP="73C0F938">
            <w:pPr>
              <w:spacing w:before="20" w:after="20"/>
              <w:jc w:val="right"/>
              <w:rPr>
                <w:noProof/>
                <w:sz w:val="20"/>
                <w:szCs w:val="20"/>
              </w:rPr>
            </w:pPr>
            <w:r w:rsidRPr="00887F6C">
              <w:rPr>
                <w:noProof/>
                <w:sz w:val="20"/>
              </w:rPr>
              <w:t>34,197</w:t>
            </w:r>
          </w:p>
        </w:tc>
        <w:tc>
          <w:tcPr>
            <w:tcW w:w="868" w:type="dxa"/>
            <w:vAlign w:val="center"/>
          </w:tcPr>
          <w:p w14:paraId="4091A457" w14:textId="77777777" w:rsidR="00264CE9" w:rsidRPr="00887F6C" w:rsidRDefault="00264CE9" w:rsidP="73C0F938">
            <w:pPr>
              <w:spacing w:before="20" w:after="20"/>
              <w:jc w:val="right"/>
              <w:rPr>
                <w:noProof/>
                <w:sz w:val="20"/>
                <w:szCs w:val="20"/>
              </w:rPr>
            </w:pPr>
            <w:r w:rsidRPr="00887F6C">
              <w:rPr>
                <w:noProof/>
                <w:sz w:val="20"/>
              </w:rPr>
              <w:t>36,897</w:t>
            </w:r>
          </w:p>
        </w:tc>
        <w:tc>
          <w:tcPr>
            <w:tcW w:w="909" w:type="dxa"/>
            <w:shd w:val="clear" w:color="auto" w:fill="A6A6A6" w:themeFill="background1" w:themeFillShade="A6"/>
            <w:vAlign w:val="center"/>
          </w:tcPr>
          <w:p w14:paraId="2E5A76FF" w14:textId="77777777" w:rsidR="00264CE9" w:rsidRPr="00887F6C" w:rsidRDefault="00264CE9" w:rsidP="73C0F938">
            <w:pPr>
              <w:spacing w:before="20" w:after="20"/>
              <w:jc w:val="right"/>
              <w:rPr>
                <w:noProof/>
                <w:sz w:val="20"/>
                <w:szCs w:val="20"/>
              </w:rPr>
            </w:pPr>
            <w:r w:rsidRPr="00887F6C">
              <w:rPr>
                <w:noProof/>
                <w:sz w:val="20"/>
              </w:rPr>
              <w:t>0</w:t>
            </w:r>
          </w:p>
        </w:tc>
        <w:tc>
          <w:tcPr>
            <w:tcW w:w="1289" w:type="dxa"/>
            <w:vAlign w:val="center"/>
          </w:tcPr>
          <w:p w14:paraId="5F93E2DC" w14:textId="77777777" w:rsidR="00264CE9" w:rsidRPr="00887F6C" w:rsidRDefault="00264CE9" w:rsidP="73C0F938">
            <w:pPr>
              <w:spacing w:before="20" w:after="20"/>
              <w:jc w:val="right"/>
              <w:rPr>
                <w:b/>
                <w:bCs/>
                <w:noProof/>
                <w:sz w:val="20"/>
                <w:szCs w:val="20"/>
              </w:rPr>
            </w:pPr>
            <w:r w:rsidRPr="00887F6C">
              <w:rPr>
                <w:b/>
                <w:noProof/>
                <w:sz w:val="20"/>
              </w:rPr>
              <w:t>105,341</w:t>
            </w:r>
          </w:p>
        </w:tc>
      </w:tr>
      <w:tr w:rsidR="00264CE9" w:rsidRPr="00887F6C" w14:paraId="78987C1B" w14:textId="77777777" w:rsidTr="6948CE82">
        <w:trPr>
          <w:jc w:val="center"/>
        </w:trPr>
        <w:tc>
          <w:tcPr>
            <w:tcW w:w="4103" w:type="dxa"/>
            <w:vMerge/>
          </w:tcPr>
          <w:p w14:paraId="226EBF9D" w14:textId="77777777" w:rsidR="00264CE9" w:rsidRPr="00887F6C" w:rsidRDefault="00264CE9" w:rsidP="000727A1">
            <w:pPr>
              <w:rPr>
                <w:noProof/>
                <w:sz w:val="20"/>
              </w:rPr>
            </w:pPr>
          </w:p>
        </w:tc>
        <w:tc>
          <w:tcPr>
            <w:tcW w:w="1440" w:type="dxa"/>
            <w:vAlign w:val="center"/>
          </w:tcPr>
          <w:p w14:paraId="0DB9A48F" w14:textId="77777777" w:rsidR="00264CE9" w:rsidRPr="00887F6C" w:rsidRDefault="00264CE9" w:rsidP="000727A1">
            <w:pPr>
              <w:jc w:val="left"/>
              <w:rPr>
                <w:noProof/>
                <w:sz w:val="18"/>
              </w:rPr>
            </w:pPr>
            <w:r w:rsidRPr="00887F6C">
              <w:rPr>
                <w:noProof/>
                <w:sz w:val="18"/>
              </w:rPr>
              <w:t>Plăți</w:t>
            </w:r>
          </w:p>
        </w:tc>
        <w:tc>
          <w:tcPr>
            <w:tcW w:w="654" w:type="dxa"/>
            <w:vAlign w:val="center"/>
          </w:tcPr>
          <w:p w14:paraId="25EAB01B" w14:textId="77777777" w:rsidR="00264CE9" w:rsidRPr="00887F6C" w:rsidRDefault="00264CE9" w:rsidP="000727A1">
            <w:pPr>
              <w:jc w:val="center"/>
              <w:rPr>
                <w:noProof/>
                <w:sz w:val="14"/>
              </w:rPr>
            </w:pPr>
            <w:r w:rsidRPr="00887F6C">
              <w:rPr>
                <w:noProof/>
                <w:sz w:val="14"/>
              </w:rPr>
              <w:t>= 2 + 3</w:t>
            </w:r>
          </w:p>
        </w:tc>
        <w:tc>
          <w:tcPr>
            <w:tcW w:w="868" w:type="dxa"/>
          </w:tcPr>
          <w:p w14:paraId="3772D174" w14:textId="77777777" w:rsidR="00264CE9" w:rsidRPr="00887F6C" w:rsidRDefault="00264CE9" w:rsidP="000727A1">
            <w:pPr>
              <w:spacing w:before="20" w:after="20"/>
              <w:jc w:val="right"/>
              <w:rPr>
                <w:noProof/>
                <w:sz w:val="20"/>
              </w:rPr>
            </w:pPr>
          </w:p>
        </w:tc>
        <w:tc>
          <w:tcPr>
            <w:tcW w:w="868" w:type="dxa"/>
          </w:tcPr>
          <w:p w14:paraId="4ADA1A38" w14:textId="77777777" w:rsidR="00264CE9" w:rsidRPr="00887F6C" w:rsidRDefault="00264CE9" w:rsidP="000727A1">
            <w:pPr>
              <w:spacing w:before="20" w:after="20"/>
              <w:jc w:val="right"/>
              <w:rPr>
                <w:noProof/>
                <w:sz w:val="20"/>
              </w:rPr>
            </w:pPr>
          </w:p>
        </w:tc>
        <w:tc>
          <w:tcPr>
            <w:tcW w:w="868" w:type="dxa"/>
          </w:tcPr>
          <w:p w14:paraId="2C2CB056" w14:textId="77777777" w:rsidR="00264CE9" w:rsidRPr="00887F6C" w:rsidRDefault="00264CE9" w:rsidP="000727A1">
            <w:pPr>
              <w:spacing w:before="20" w:after="20"/>
              <w:jc w:val="right"/>
              <w:rPr>
                <w:noProof/>
                <w:sz w:val="20"/>
              </w:rPr>
            </w:pPr>
          </w:p>
        </w:tc>
        <w:tc>
          <w:tcPr>
            <w:tcW w:w="868" w:type="dxa"/>
          </w:tcPr>
          <w:p w14:paraId="49758C7D" w14:textId="77777777" w:rsidR="00264CE9" w:rsidRPr="00887F6C" w:rsidRDefault="00264CE9" w:rsidP="000727A1">
            <w:pPr>
              <w:spacing w:before="20" w:after="20"/>
              <w:jc w:val="right"/>
              <w:rPr>
                <w:noProof/>
                <w:sz w:val="20"/>
              </w:rPr>
            </w:pPr>
          </w:p>
        </w:tc>
        <w:tc>
          <w:tcPr>
            <w:tcW w:w="868" w:type="dxa"/>
          </w:tcPr>
          <w:p w14:paraId="3D9B688F" w14:textId="77777777" w:rsidR="00264CE9" w:rsidRPr="00887F6C" w:rsidRDefault="00264CE9" w:rsidP="73C0F938">
            <w:pPr>
              <w:spacing w:before="20" w:after="20"/>
              <w:jc w:val="right"/>
              <w:rPr>
                <w:noProof/>
                <w:sz w:val="20"/>
                <w:szCs w:val="20"/>
              </w:rPr>
            </w:pPr>
            <w:r w:rsidRPr="00887F6C">
              <w:rPr>
                <w:noProof/>
                <w:sz w:val="20"/>
              </w:rPr>
              <w:t xml:space="preserve">1,347 </w:t>
            </w:r>
          </w:p>
        </w:tc>
        <w:tc>
          <w:tcPr>
            <w:tcW w:w="868" w:type="dxa"/>
          </w:tcPr>
          <w:p w14:paraId="0E0704ED" w14:textId="77777777" w:rsidR="00264CE9" w:rsidRPr="00887F6C" w:rsidRDefault="11113B26" w:rsidP="00CD1BF9">
            <w:pPr>
              <w:spacing w:before="20" w:after="20"/>
              <w:jc w:val="right"/>
              <w:rPr>
                <w:noProof/>
                <w:sz w:val="20"/>
                <w:szCs w:val="20"/>
              </w:rPr>
            </w:pPr>
            <w:r w:rsidRPr="00887F6C">
              <w:rPr>
                <w:noProof/>
                <w:sz w:val="20"/>
              </w:rPr>
              <w:t>21,037</w:t>
            </w:r>
          </w:p>
        </w:tc>
        <w:tc>
          <w:tcPr>
            <w:tcW w:w="868" w:type="dxa"/>
          </w:tcPr>
          <w:p w14:paraId="3E54BCCF" w14:textId="77777777" w:rsidR="00264CE9" w:rsidRPr="00887F6C" w:rsidRDefault="64132CA3" w:rsidP="73C0F938">
            <w:pPr>
              <w:spacing w:before="20" w:after="20"/>
              <w:jc w:val="right"/>
              <w:rPr>
                <w:b/>
                <w:bCs/>
                <w:noProof/>
                <w:sz w:val="20"/>
                <w:szCs w:val="20"/>
              </w:rPr>
            </w:pPr>
            <w:r w:rsidRPr="00887F6C">
              <w:rPr>
                <w:noProof/>
                <w:sz w:val="20"/>
              </w:rPr>
              <w:t xml:space="preserve">21,037 </w:t>
            </w:r>
          </w:p>
        </w:tc>
        <w:tc>
          <w:tcPr>
            <w:tcW w:w="909" w:type="dxa"/>
          </w:tcPr>
          <w:p w14:paraId="53DC1A54" w14:textId="77777777" w:rsidR="00264CE9" w:rsidRPr="00887F6C" w:rsidRDefault="00264CE9" w:rsidP="73C0F938">
            <w:pPr>
              <w:spacing w:before="20" w:after="20"/>
              <w:jc w:val="right"/>
              <w:rPr>
                <w:noProof/>
                <w:sz w:val="20"/>
                <w:szCs w:val="20"/>
              </w:rPr>
            </w:pPr>
            <w:r w:rsidRPr="00887F6C">
              <w:rPr>
                <w:noProof/>
                <w:sz w:val="20"/>
              </w:rPr>
              <w:t xml:space="preserve">61,920 </w:t>
            </w:r>
          </w:p>
        </w:tc>
        <w:tc>
          <w:tcPr>
            <w:tcW w:w="1289" w:type="dxa"/>
          </w:tcPr>
          <w:p w14:paraId="3DEAED25" w14:textId="77777777" w:rsidR="00264CE9" w:rsidRPr="00887F6C" w:rsidRDefault="00264CE9" w:rsidP="73C0F938">
            <w:pPr>
              <w:spacing w:before="20" w:after="20"/>
              <w:jc w:val="right"/>
              <w:rPr>
                <w:b/>
                <w:bCs/>
                <w:noProof/>
                <w:sz w:val="20"/>
                <w:szCs w:val="20"/>
              </w:rPr>
            </w:pPr>
            <w:r w:rsidRPr="00887F6C">
              <w:rPr>
                <w:noProof/>
                <w:sz w:val="20"/>
              </w:rPr>
              <w:t xml:space="preserve"> 105,341</w:t>
            </w:r>
          </w:p>
        </w:tc>
      </w:tr>
    </w:tbl>
    <w:p w14:paraId="0CDE0595" w14:textId="77777777" w:rsidR="00264CE9" w:rsidRPr="00887F6C" w:rsidRDefault="00264CE9" w:rsidP="000727A1">
      <w:pPr>
        <w:rPr>
          <w:noProof/>
        </w:rPr>
      </w:pPr>
    </w:p>
    <w:p w14:paraId="3C88DCA7" w14:textId="77777777" w:rsidR="00264CE9" w:rsidRPr="00887F6C" w:rsidRDefault="00264CE9">
      <w:pPr>
        <w:spacing w:before="0" w:after="200" w:line="276" w:lineRule="auto"/>
        <w:jc w:val="left"/>
        <w:rPr>
          <w:noProof/>
        </w:rPr>
      </w:pPr>
      <w:r w:rsidRPr="00887F6C">
        <w:rPr>
          <w:noProof/>
        </w:rPr>
        <w:br w:type="page"/>
      </w:r>
    </w:p>
    <w:p w14:paraId="6985BCFF" w14:textId="77777777" w:rsidR="00264CE9" w:rsidRPr="00887F6C" w:rsidRDefault="00264CE9" w:rsidP="000727A1">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264CE9" w:rsidRPr="00887F6C" w14:paraId="410A6D86" w14:textId="77777777" w:rsidTr="000727A1">
        <w:trPr>
          <w:jc w:val="center"/>
        </w:trPr>
        <w:tc>
          <w:tcPr>
            <w:tcW w:w="4744" w:type="dxa"/>
            <w:shd w:val="thinDiagStripe" w:color="C0C0C0" w:fill="auto"/>
            <w:vAlign w:val="center"/>
          </w:tcPr>
          <w:p w14:paraId="4AB063AB" w14:textId="77777777" w:rsidR="00264CE9" w:rsidRPr="00887F6C" w:rsidRDefault="00264CE9" w:rsidP="000727A1">
            <w:pPr>
              <w:spacing w:before="60" w:after="60"/>
              <w:jc w:val="center"/>
              <w:rPr>
                <w:b/>
                <w:noProof/>
              </w:rPr>
            </w:pPr>
            <w:r w:rsidRPr="00887F6C">
              <w:rPr>
                <w:noProof/>
              </w:rPr>
              <w:br w:type="page"/>
            </w:r>
            <w:r w:rsidRPr="00887F6C">
              <w:rPr>
                <w:b/>
                <w:noProof/>
                <w:sz w:val="22"/>
              </w:rPr>
              <w:t xml:space="preserve">Rubrica din cadrul financiar multianual </w:t>
            </w:r>
          </w:p>
        </w:tc>
        <w:tc>
          <w:tcPr>
            <w:tcW w:w="1080" w:type="dxa"/>
            <w:shd w:val="thinDiagStripe" w:color="C0C0C0" w:fill="auto"/>
            <w:vAlign w:val="center"/>
          </w:tcPr>
          <w:p w14:paraId="6BEC7993" w14:textId="77777777" w:rsidR="00264CE9" w:rsidRPr="00887F6C" w:rsidRDefault="00264CE9" w:rsidP="000727A1">
            <w:pPr>
              <w:spacing w:before="60" w:after="60"/>
              <w:jc w:val="center"/>
              <w:rPr>
                <w:noProof/>
              </w:rPr>
            </w:pPr>
            <w:r w:rsidRPr="00887F6C">
              <w:rPr>
                <w:noProof/>
              </w:rPr>
              <w:t>7</w:t>
            </w:r>
          </w:p>
        </w:tc>
        <w:tc>
          <w:tcPr>
            <w:tcW w:w="7817" w:type="dxa"/>
            <w:vAlign w:val="center"/>
          </w:tcPr>
          <w:p w14:paraId="6A00F02A" w14:textId="77777777" w:rsidR="00264CE9" w:rsidRPr="00887F6C" w:rsidRDefault="00264CE9" w:rsidP="000727A1">
            <w:pPr>
              <w:spacing w:before="60" w:after="60"/>
              <w:rPr>
                <w:noProof/>
              </w:rPr>
            </w:pPr>
            <w:r w:rsidRPr="00887F6C">
              <w:rPr>
                <w:noProof/>
                <w:sz w:val="22"/>
              </w:rPr>
              <w:t>„Cheltuieli administrative”</w:t>
            </w:r>
          </w:p>
        </w:tc>
      </w:tr>
    </w:tbl>
    <w:p w14:paraId="48188798" w14:textId="77777777" w:rsidR="00264CE9" w:rsidRPr="00887F6C" w:rsidRDefault="00264CE9" w:rsidP="000727A1">
      <w:pPr>
        <w:jc w:val="left"/>
        <w:rPr>
          <w:noProof/>
        </w:rPr>
      </w:pPr>
    </w:p>
    <w:p w14:paraId="7016AADB" w14:textId="77777777" w:rsidR="00264CE9" w:rsidRPr="00887F6C" w:rsidRDefault="00264CE9" w:rsidP="000727A1">
      <w:pPr>
        <w:jc w:val="right"/>
        <w:rPr>
          <w:noProof/>
          <w:sz w:val="20"/>
        </w:rPr>
      </w:pPr>
      <w:r w:rsidRPr="00887F6C">
        <w:rPr>
          <w:noProof/>
          <w:sz w:val="20"/>
        </w:rPr>
        <w:t>milioane EUR (cu trei zecimale)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264CE9" w:rsidRPr="00887F6C" w14:paraId="0D126279" w14:textId="77777777" w:rsidTr="000727A1">
        <w:trPr>
          <w:jc w:val="center"/>
        </w:trPr>
        <w:tc>
          <w:tcPr>
            <w:tcW w:w="6245" w:type="dxa"/>
            <w:gridSpan w:val="2"/>
            <w:tcBorders>
              <w:top w:val="nil"/>
              <w:left w:val="nil"/>
            </w:tcBorders>
            <w:vAlign w:val="center"/>
          </w:tcPr>
          <w:p w14:paraId="30A58F31" w14:textId="77777777" w:rsidR="00264CE9" w:rsidRPr="00887F6C" w:rsidRDefault="00264CE9" w:rsidP="000727A1">
            <w:pPr>
              <w:jc w:val="center"/>
              <w:rPr>
                <w:noProof/>
                <w:sz w:val="20"/>
              </w:rPr>
            </w:pPr>
          </w:p>
        </w:tc>
        <w:tc>
          <w:tcPr>
            <w:tcW w:w="868" w:type="dxa"/>
            <w:vAlign w:val="center"/>
          </w:tcPr>
          <w:p w14:paraId="5A73198D" w14:textId="77777777" w:rsidR="00264CE9" w:rsidRPr="00887F6C" w:rsidRDefault="00264CE9" w:rsidP="000727A1">
            <w:pPr>
              <w:jc w:val="center"/>
              <w:rPr>
                <w:b/>
                <w:noProof/>
                <w:sz w:val="20"/>
              </w:rPr>
            </w:pPr>
            <w:r w:rsidRPr="00887F6C">
              <w:rPr>
                <w:b/>
                <w:noProof/>
                <w:sz w:val="20"/>
              </w:rPr>
              <w:t>2021</w:t>
            </w:r>
          </w:p>
        </w:tc>
        <w:tc>
          <w:tcPr>
            <w:tcW w:w="868" w:type="dxa"/>
            <w:vAlign w:val="center"/>
          </w:tcPr>
          <w:p w14:paraId="0CA80C65" w14:textId="77777777" w:rsidR="00264CE9" w:rsidRPr="00887F6C" w:rsidRDefault="00264CE9" w:rsidP="000727A1">
            <w:pPr>
              <w:jc w:val="center"/>
              <w:rPr>
                <w:b/>
                <w:noProof/>
                <w:sz w:val="20"/>
              </w:rPr>
            </w:pPr>
            <w:r w:rsidRPr="00887F6C">
              <w:rPr>
                <w:b/>
                <w:noProof/>
                <w:sz w:val="20"/>
              </w:rPr>
              <w:t>2022</w:t>
            </w:r>
          </w:p>
        </w:tc>
        <w:tc>
          <w:tcPr>
            <w:tcW w:w="868" w:type="dxa"/>
            <w:vAlign w:val="center"/>
          </w:tcPr>
          <w:p w14:paraId="25F02DD3" w14:textId="77777777" w:rsidR="00264CE9" w:rsidRPr="00887F6C" w:rsidRDefault="00264CE9" w:rsidP="000727A1">
            <w:pPr>
              <w:jc w:val="center"/>
              <w:rPr>
                <w:b/>
                <w:noProof/>
                <w:sz w:val="20"/>
              </w:rPr>
            </w:pPr>
            <w:r w:rsidRPr="00887F6C">
              <w:rPr>
                <w:b/>
                <w:noProof/>
                <w:sz w:val="20"/>
              </w:rPr>
              <w:t>2023</w:t>
            </w:r>
          </w:p>
        </w:tc>
        <w:tc>
          <w:tcPr>
            <w:tcW w:w="868" w:type="dxa"/>
            <w:vAlign w:val="center"/>
          </w:tcPr>
          <w:p w14:paraId="0A1AB4CC" w14:textId="77777777" w:rsidR="00264CE9" w:rsidRPr="00887F6C" w:rsidRDefault="00264CE9" w:rsidP="000727A1">
            <w:pPr>
              <w:jc w:val="center"/>
              <w:rPr>
                <w:b/>
                <w:noProof/>
                <w:sz w:val="20"/>
              </w:rPr>
            </w:pPr>
            <w:r w:rsidRPr="00887F6C">
              <w:rPr>
                <w:b/>
                <w:noProof/>
                <w:sz w:val="20"/>
              </w:rPr>
              <w:t>2024</w:t>
            </w:r>
          </w:p>
        </w:tc>
        <w:tc>
          <w:tcPr>
            <w:tcW w:w="868" w:type="dxa"/>
            <w:vAlign w:val="center"/>
          </w:tcPr>
          <w:p w14:paraId="3D96B1FA" w14:textId="77777777" w:rsidR="00264CE9" w:rsidRPr="00887F6C" w:rsidRDefault="00264CE9" w:rsidP="000727A1">
            <w:pPr>
              <w:jc w:val="center"/>
              <w:rPr>
                <w:b/>
                <w:noProof/>
                <w:sz w:val="18"/>
              </w:rPr>
            </w:pPr>
            <w:r w:rsidRPr="00887F6C">
              <w:rPr>
                <w:b/>
                <w:noProof/>
                <w:sz w:val="18"/>
              </w:rPr>
              <w:t>2025</w:t>
            </w:r>
          </w:p>
        </w:tc>
        <w:tc>
          <w:tcPr>
            <w:tcW w:w="868" w:type="dxa"/>
            <w:vAlign w:val="center"/>
          </w:tcPr>
          <w:p w14:paraId="5936A2AE" w14:textId="77777777" w:rsidR="00264CE9" w:rsidRPr="00887F6C" w:rsidRDefault="00264CE9" w:rsidP="000727A1">
            <w:pPr>
              <w:jc w:val="center"/>
              <w:rPr>
                <w:b/>
                <w:noProof/>
                <w:sz w:val="18"/>
              </w:rPr>
            </w:pPr>
            <w:r w:rsidRPr="00887F6C">
              <w:rPr>
                <w:b/>
                <w:noProof/>
                <w:sz w:val="18"/>
              </w:rPr>
              <w:t>2026</w:t>
            </w:r>
          </w:p>
        </w:tc>
        <w:tc>
          <w:tcPr>
            <w:tcW w:w="868" w:type="dxa"/>
            <w:vAlign w:val="center"/>
          </w:tcPr>
          <w:p w14:paraId="200BC567" w14:textId="77777777" w:rsidR="00264CE9" w:rsidRPr="00887F6C" w:rsidRDefault="00264CE9" w:rsidP="000727A1">
            <w:pPr>
              <w:jc w:val="center"/>
              <w:rPr>
                <w:b/>
                <w:noProof/>
                <w:sz w:val="18"/>
              </w:rPr>
            </w:pPr>
            <w:r w:rsidRPr="00887F6C">
              <w:rPr>
                <w:b/>
                <w:noProof/>
                <w:sz w:val="18"/>
              </w:rPr>
              <w:t>2027</w:t>
            </w:r>
          </w:p>
        </w:tc>
        <w:tc>
          <w:tcPr>
            <w:tcW w:w="887" w:type="dxa"/>
          </w:tcPr>
          <w:p w14:paraId="7EA0D23C" w14:textId="77777777" w:rsidR="00264CE9" w:rsidRPr="00887F6C" w:rsidRDefault="00264CE9" w:rsidP="000727A1">
            <w:pPr>
              <w:jc w:val="center"/>
              <w:rPr>
                <w:b/>
                <w:noProof/>
                <w:sz w:val="20"/>
              </w:rPr>
            </w:pPr>
            <w:r w:rsidRPr="00887F6C">
              <w:rPr>
                <w:b/>
                <w:i/>
                <w:noProof/>
                <w:sz w:val="20"/>
              </w:rPr>
              <w:t>După 2027</w:t>
            </w:r>
          </w:p>
        </w:tc>
        <w:tc>
          <w:tcPr>
            <w:tcW w:w="1291" w:type="dxa"/>
            <w:vAlign w:val="center"/>
          </w:tcPr>
          <w:p w14:paraId="7AAE557C" w14:textId="77777777" w:rsidR="00264CE9" w:rsidRPr="00887F6C" w:rsidRDefault="00264CE9" w:rsidP="000727A1">
            <w:pPr>
              <w:jc w:val="center"/>
              <w:rPr>
                <w:b/>
                <w:noProof/>
                <w:sz w:val="20"/>
              </w:rPr>
            </w:pPr>
            <w:r w:rsidRPr="00887F6C">
              <w:rPr>
                <w:b/>
                <w:noProof/>
                <w:sz w:val="20"/>
              </w:rPr>
              <w:t>TOTAL</w:t>
            </w:r>
          </w:p>
        </w:tc>
      </w:tr>
      <w:tr w:rsidR="00264CE9" w:rsidRPr="00887F6C" w14:paraId="47F43F4C" w14:textId="77777777" w:rsidTr="000727A1">
        <w:trPr>
          <w:trHeight w:val="313"/>
          <w:jc w:val="center"/>
        </w:trPr>
        <w:tc>
          <w:tcPr>
            <w:tcW w:w="6245" w:type="dxa"/>
            <w:gridSpan w:val="2"/>
            <w:vAlign w:val="center"/>
          </w:tcPr>
          <w:p w14:paraId="15586924" w14:textId="77777777" w:rsidR="00264CE9" w:rsidRPr="00887F6C" w:rsidRDefault="00264CE9" w:rsidP="000727A1">
            <w:pPr>
              <w:spacing w:before="20" w:after="20"/>
              <w:rPr>
                <w:noProof/>
              </w:rPr>
            </w:pPr>
            <w:r w:rsidRPr="00887F6C">
              <w:rPr>
                <w:noProof/>
                <w:sz w:val="22"/>
              </w:rPr>
              <w:t xml:space="preserve">Resurse umane </w:t>
            </w:r>
          </w:p>
        </w:tc>
        <w:tc>
          <w:tcPr>
            <w:tcW w:w="868" w:type="dxa"/>
            <w:vAlign w:val="center"/>
          </w:tcPr>
          <w:p w14:paraId="7BC651DB" w14:textId="77777777" w:rsidR="00264CE9" w:rsidRPr="00887F6C" w:rsidRDefault="00264CE9" w:rsidP="000727A1">
            <w:pPr>
              <w:spacing w:before="20" w:after="20"/>
              <w:jc w:val="right"/>
              <w:rPr>
                <w:noProof/>
                <w:sz w:val="20"/>
              </w:rPr>
            </w:pPr>
            <w:r w:rsidRPr="00887F6C">
              <w:rPr>
                <w:noProof/>
                <w:sz w:val="20"/>
              </w:rPr>
              <w:t>-</w:t>
            </w:r>
          </w:p>
        </w:tc>
        <w:tc>
          <w:tcPr>
            <w:tcW w:w="868" w:type="dxa"/>
            <w:vAlign w:val="center"/>
          </w:tcPr>
          <w:p w14:paraId="023F3F37" w14:textId="77777777" w:rsidR="00264CE9" w:rsidRPr="00887F6C" w:rsidRDefault="00264CE9" w:rsidP="000727A1">
            <w:pPr>
              <w:spacing w:before="20" w:after="20"/>
              <w:jc w:val="right"/>
              <w:rPr>
                <w:noProof/>
                <w:sz w:val="20"/>
              </w:rPr>
            </w:pPr>
            <w:r w:rsidRPr="00887F6C">
              <w:rPr>
                <w:noProof/>
                <w:sz w:val="20"/>
              </w:rPr>
              <w:t>-</w:t>
            </w:r>
          </w:p>
        </w:tc>
        <w:tc>
          <w:tcPr>
            <w:tcW w:w="868" w:type="dxa"/>
            <w:vAlign w:val="center"/>
          </w:tcPr>
          <w:p w14:paraId="4F68CFCF" w14:textId="77777777" w:rsidR="00264CE9" w:rsidRPr="00887F6C" w:rsidRDefault="00264CE9" w:rsidP="000727A1">
            <w:pPr>
              <w:spacing w:before="20" w:after="20"/>
              <w:jc w:val="right"/>
              <w:rPr>
                <w:noProof/>
                <w:sz w:val="20"/>
              </w:rPr>
            </w:pPr>
            <w:r w:rsidRPr="00887F6C">
              <w:rPr>
                <w:noProof/>
                <w:sz w:val="20"/>
              </w:rPr>
              <w:t>-</w:t>
            </w:r>
          </w:p>
        </w:tc>
        <w:tc>
          <w:tcPr>
            <w:tcW w:w="868" w:type="dxa"/>
            <w:vAlign w:val="center"/>
          </w:tcPr>
          <w:p w14:paraId="02F92633" w14:textId="77777777" w:rsidR="00264CE9" w:rsidRPr="00887F6C" w:rsidRDefault="00264CE9" w:rsidP="000727A1">
            <w:pPr>
              <w:spacing w:before="20" w:after="20"/>
              <w:jc w:val="right"/>
              <w:rPr>
                <w:noProof/>
                <w:sz w:val="20"/>
              </w:rPr>
            </w:pPr>
            <w:r w:rsidRPr="00887F6C">
              <w:rPr>
                <w:noProof/>
                <w:sz w:val="20"/>
              </w:rPr>
              <w:t>-</w:t>
            </w:r>
          </w:p>
        </w:tc>
        <w:tc>
          <w:tcPr>
            <w:tcW w:w="868" w:type="dxa"/>
            <w:vAlign w:val="center"/>
          </w:tcPr>
          <w:p w14:paraId="2B3B2F85" w14:textId="77777777" w:rsidR="00264CE9" w:rsidRPr="00887F6C" w:rsidRDefault="00264CE9" w:rsidP="000727A1">
            <w:pPr>
              <w:spacing w:before="20" w:after="20"/>
              <w:jc w:val="right"/>
              <w:rPr>
                <w:noProof/>
                <w:sz w:val="20"/>
              </w:rPr>
            </w:pPr>
          </w:p>
        </w:tc>
        <w:tc>
          <w:tcPr>
            <w:tcW w:w="868" w:type="dxa"/>
            <w:vAlign w:val="center"/>
          </w:tcPr>
          <w:p w14:paraId="189AD59E" w14:textId="77777777" w:rsidR="00264CE9" w:rsidRPr="00887F6C" w:rsidRDefault="00264CE9" w:rsidP="000727A1">
            <w:pPr>
              <w:spacing w:before="20" w:after="20"/>
              <w:jc w:val="right"/>
              <w:rPr>
                <w:noProof/>
                <w:sz w:val="20"/>
              </w:rPr>
            </w:pPr>
          </w:p>
        </w:tc>
        <w:tc>
          <w:tcPr>
            <w:tcW w:w="868" w:type="dxa"/>
            <w:vAlign w:val="center"/>
          </w:tcPr>
          <w:p w14:paraId="0701BFC8" w14:textId="77777777" w:rsidR="00264CE9" w:rsidRPr="00887F6C" w:rsidRDefault="00264CE9" w:rsidP="000727A1">
            <w:pPr>
              <w:spacing w:before="20" w:after="20"/>
              <w:jc w:val="right"/>
              <w:rPr>
                <w:b/>
                <w:noProof/>
                <w:sz w:val="20"/>
              </w:rPr>
            </w:pPr>
          </w:p>
        </w:tc>
        <w:tc>
          <w:tcPr>
            <w:tcW w:w="887" w:type="dxa"/>
            <w:shd w:val="clear" w:color="auto" w:fill="A6A6A6"/>
          </w:tcPr>
          <w:p w14:paraId="692703AA" w14:textId="77777777" w:rsidR="00264CE9" w:rsidRPr="00887F6C" w:rsidRDefault="00264CE9" w:rsidP="000727A1">
            <w:pPr>
              <w:spacing w:before="20" w:after="20"/>
              <w:jc w:val="right"/>
              <w:rPr>
                <w:b/>
                <w:noProof/>
                <w:sz w:val="20"/>
              </w:rPr>
            </w:pPr>
          </w:p>
        </w:tc>
        <w:tc>
          <w:tcPr>
            <w:tcW w:w="1291" w:type="dxa"/>
            <w:vAlign w:val="center"/>
          </w:tcPr>
          <w:p w14:paraId="18C490D0" w14:textId="77777777" w:rsidR="00264CE9" w:rsidRPr="00887F6C" w:rsidRDefault="00264CE9" w:rsidP="000727A1">
            <w:pPr>
              <w:spacing w:before="20" w:after="20"/>
              <w:jc w:val="right"/>
              <w:rPr>
                <w:b/>
                <w:noProof/>
                <w:sz w:val="20"/>
              </w:rPr>
            </w:pPr>
          </w:p>
        </w:tc>
      </w:tr>
      <w:tr w:rsidR="00264CE9" w:rsidRPr="00887F6C" w14:paraId="76D89CE0" w14:textId="77777777" w:rsidTr="000727A1">
        <w:trPr>
          <w:trHeight w:val="351"/>
          <w:jc w:val="center"/>
        </w:trPr>
        <w:tc>
          <w:tcPr>
            <w:tcW w:w="6245" w:type="dxa"/>
            <w:gridSpan w:val="2"/>
            <w:vAlign w:val="center"/>
          </w:tcPr>
          <w:p w14:paraId="002D283F" w14:textId="77777777" w:rsidR="00264CE9" w:rsidRPr="00887F6C" w:rsidRDefault="00264CE9" w:rsidP="000727A1">
            <w:pPr>
              <w:spacing w:before="20" w:after="20"/>
              <w:rPr>
                <w:noProof/>
              </w:rPr>
            </w:pPr>
            <w:r w:rsidRPr="00887F6C">
              <w:rPr>
                <w:noProof/>
                <w:sz w:val="22"/>
              </w:rPr>
              <w:t xml:space="preserve">Alte cheltuieli administrative </w:t>
            </w:r>
          </w:p>
        </w:tc>
        <w:tc>
          <w:tcPr>
            <w:tcW w:w="868" w:type="dxa"/>
            <w:vAlign w:val="center"/>
          </w:tcPr>
          <w:p w14:paraId="5F6D9FFF" w14:textId="77777777" w:rsidR="00264CE9" w:rsidRPr="00887F6C" w:rsidRDefault="00264CE9" w:rsidP="000727A1">
            <w:pPr>
              <w:spacing w:before="20" w:after="20"/>
              <w:jc w:val="right"/>
              <w:rPr>
                <w:b/>
                <w:noProof/>
                <w:sz w:val="20"/>
              </w:rPr>
            </w:pPr>
            <w:r w:rsidRPr="00887F6C">
              <w:rPr>
                <w:b/>
                <w:noProof/>
                <w:sz w:val="20"/>
              </w:rPr>
              <w:t>-</w:t>
            </w:r>
          </w:p>
        </w:tc>
        <w:tc>
          <w:tcPr>
            <w:tcW w:w="868" w:type="dxa"/>
            <w:vAlign w:val="center"/>
          </w:tcPr>
          <w:p w14:paraId="0B9FF2CD" w14:textId="77777777" w:rsidR="00264CE9" w:rsidRPr="00887F6C" w:rsidRDefault="00264CE9" w:rsidP="000727A1">
            <w:pPr>
              <w:spacing w:before="20" w:after="20"/>
              <w:jc w:val="right"/>
              <w:rPr>
                <w:b/>
                <w:noProof/>
                <w:sz w:val="20"/>
              </w:rPr>
            </w:pPr>
            <w:r w:rsidRPr="00887F6C">
              <w:rPr>
                <w:b/>
                <w:noProof/>
                <w:sz w:val="20"/>
              </w:rPr>
              <w:t>-</w:t>
            </w:r>
          </w:p>
        </w:tc>
        <w:tc>
          <w:tcPr>
            <w:tcW w:w="868" w:type="dxa"/>
            <w:vAlign w:val="center"/>
          </w:tcPr>
          <w:p w14:paraId="12325953" w14:textId="77777777" w:rsidR="00264CE9" w:rsidRPr="00887F6C" w:rsidRDefault="00264CE9" w:rsidP="000727A1">
            <w:pPr>
              <w:spacing w:before="20" w:after="20"/>
              <w:jc w:val="right"/>
              <w:rPr>
                <w:b/>
                <w:noProof/>
                <w:sz w:val="20"/>
              </w:rPr>
            </w:pPr>
            <w:r w:rsidRPr="00887F6C">
              <w:rPr>
                <w:b/>
                <w:noProof/>
                <w:sz w:val="20"/>
              </w:rPr>
              <w:t>-</w:t>
            </w:r>
          </w:p>
        </w:tc>
        <w:tc>
          <w:tcPr>
            <w:tcW w:w="868" w:type="dxa"/>
            <w:vAlign w:val="center"/>
          </w:tcPr>
          <w:p w14:paraId="30997721" w14:textId="77777777" w:rsidR="00264CE9" w:rsidRPr="00887F6C" w:rsidRDefault="00264CE9" w:rsidP="000727A1">
            <w:pPr>
              <w:spacing w:before="20" w:after="20"/>
              <w:jc w:val="right"/>
              <w:rPr>
                <w:b/>
                <w:noProof/>
                <w:sz w:val="20"/>
              </w:rPr>
            </w:pPr>
            <w:r w:rsidRPr="00887F6C">
              <w:rPr>
                <w:b/>
                <w:noProof/>
                <w:sz w:val="20"/>
              </w:rPr>
              <w:t>-</w:t>
            </w:r>
          </w:p>
        </w:tc>
        <w:tc>
          <w:tcPr>
            <w:tcW w:w="868" w:type="dxa"/>
            <w:vAlign w:val="center"/>
          </w:tcPr>
          <w:p w14:paraId="0A7C0CC0" w14:textId="77777777" w:rsidR="00264CE9" w:rsidRPr="00887F6C" w:rsidRDefault="00264CE9" w:rsidP="000727A1">
            <w:pPr>
              <w:spacing w:before="20" w:after="20"/>
              <w:jc w:val="right"/>
              <w:rPr>
                <w:b/>
                <w:noProof/>
                <w:sz w:val="20"/>
              </w:rPr>
            </w:pPr>
          </w:p>
        </w:tc>
        <w:tc>
          <w:tcPr>
            <w:tcW w:w="868" w:type="dxa"/>
            <w:vAlign w:val="center"/>
          </w:tcPr>
          <w:p w14:paraId="5401DA78" w14:textId="77777777" w:rsidR="00264CE9" w:rsidRPr="00887F6C" w:rsidRDefault="00264CE9" w:rsidP="000727A1">
            <w:pPr>
              <w:spacing w:before="20" w:after="20"/>
              <w:jc w:val="right"/>
              <w:rPr>
                <w:b/>
                <w:noProof/>
                <w:sz w:val="20"/>
              </w:rPr>
            </w:pPr>
          </w:p>
        </w:tc>
        <w:tc>
          <w:tcPr>
            <w:tcW w:w="868" w:type="dxa"/>
            <w:vAlign w:val="center"/>
          </w:tcPr>
          <w:p w14:paraId="66271AB0" w14:textId="77777777" w:rsidR="00264CE9" w:rsidRPr="00887F6C" w:rsidRDefault="00264CE9" w:rsidP="000727A1">
            <w:pPr>
              <w:spacing w:before="20" w:after="20"/>
              <w:jc w:val="right"/>
              <w:rPr>
                <w:b/>
                <w:noProof/>
                <w:sz w:val="20"/>
              </w:rPr>
            </w:pPr>
          </w:p>
        </w:tc>
        <w:tc>
          <w:tcPr>
            <w:tcW w:w="887" w:type="dxa"/>
            <w:shd w:val="clear" w:color="auto" w:fill="A6A6A6"/>
          </w:tcPr>
          <w:p w14:paraId="0537BDC3" w14:textId="77777777" w:rsidR="00264CE9" w:rsidRPr="00887F6C" w:rsidRDefault="00264CE9" w:rsidP="000727A1">
            <w:pPr>
              <w:spacing w:before="20" w:after="20"/>
              <w:jc w:val="right"/>
              <w:rPr>
                <w:b/>
                <w:noProof/>
                <w:sz w:val="20"/>
              </w:rPr>
            </w:pPr>
          </w:p>
        </w:tc>
        <w:tc>
          <w:tcPr>
            <w:tcW w:w="1291" w:type="dxa"/>
            <w:vAlign w:val="center"/>
          </w:tcPr>
          <w:p w14:paraId="4677A3ED" w14:textId="77777777" w:rsidR="00264CE9" w:rsidRPr="00887F6C" w:rsidRDefault="00264CE9" w:rsidP="000727A1">
            <w:pPr>
              <w:spacing w:before="20" w:after="20"/>
              <w:jc w:val="right"/>
              <w:rPr>
                <w:b/>
                <w:noProof/>
                <w:sz w:val="20"/>
              </w:rPr>
            </w:pPr>
          </w:p>
        </w:tc>
      </w:tr>
      <w:tr w:rsidR="00264CE9" w:rsidRPr="00887F6C" w14:paraId="32C8CE49" w14:textId="77777777" w:rsidTr="000727A1">
        <w:trPr>
          <w:trHeight w:val="351"/>
          <w:jc w:val="center"/>
        </w:trPr>
        <w:tc>
          <w:tcPr>
            <w:tcW w:w="4199" w:type="dxa"/>
            <w:shd w:val="clear" w:color="auto" w:fill="auto"/>
            <w:vAlign w:val="center"/>
          </w:tcPr>
          <w:p w14:paraId="6F073F26" w14:textId="77777777" w:rsidR="00264CE9" w:rsidRPr="00887F6C" w:rsidDel="00704F41" w:rsidRDefault="00264CE9" w:rsidP="000727A1">
            <w:pPr>
              <w:spacing w:before="20" w:after="20"/>
              <w:jc w:val="left"/>
              <w:rPr>
                <w:b/>
                <w:noProof/>
                <w:sz w:val="22"/>
              </w:rPr>
            </w:pPr>
            <w:r w:rsidRPr="00887F6C">
              <w:rPr>
                <w:b/>
                <w:noProof/>
                <w:sz w:val="22"/>
              </w:rPr>
              <w:t>TOTAL credite în cadrul RUBRICII 7 din cadrul financiar multianual</w:t>
            </w:r>
          </w:p>
        </w:tc>
        <w:tc>
          <w:tcPr>
            <w:tcW w:w="2046" w:type="dxa"/>
            <w:shd w:val="clear" w:color="auto" w:fill="auto"/>
            <w:vAlign w:val="center"/>
          </w:tcPr>
          <w:p w14:paraId="040E85BA" w14:textId="77777777" w:rsidR="00264CE9" w:rsidRPr="00887F6C" w:rsidDel="00704F41" w:rsidRDefault="00264CE9" w:rsidP="000727A1">
            <w:pPr>
              <w:spacing w:before="20" w:after="20"/>
              <w:rPr>
                <w:noProof/>
                <w:sz w:val="22"/>
              </w:rPr>
            </w:pPr>
            <w:r w:rsidRPr="00887F6C">
              <w:rPr>
                <w:noProof/>
                <w:sz w:val="18"/>
              </w:rPr>
              <w:t>(Total angajamente = Total plăți)</w:t>
            </w:r>
          </w:p>
        </w:tc>
        <w:tc>
          <w:tcPr>
            <w:tcW w:w="868" w:type="dxa"/>
            <w:shd w:val="clear" w:color="auto" w:fill="auto"/>
            <w:vAlign w:val="center"/>
          </w:tcPr>
          <w:p w14:paraId="3C2CD9DB" w14:textId="77777777" w:rsidR="00264CE9" w:rsidRPr="00887F6C" w:rsidRDefault="00264CE9" w:rsidP="000727A1">
            <w:pPr>
              <w:spacing w:before="20" w:after="20"/>
              <w:jc w:val="right"/>
              <w:rPr>
                <w:b/>
                <w:noProof/>
                <w:sz w:val="20"/>
              </w:rPr>
            </w:pPr>
            <w:r w:rsidRPr="00887F6C">
              <w:rPr>
                <w:b/>
                <w:noProof/>
                <w:sz w:val="20"/>
              </w:rPr>
              <w:t>-</w:t>
            </w:r>
          </w:p>
        </w:tc>
        <w:tc>
          <w:tcPr>
            <w:tcW w:w="868" w:type="dxa"/>
            <w:shd w:val="clear" w:color="auto" w:fill="auto"/>
            <w:vAlign w:val="center"/>
          </w:tcPr>
          <w:p w14:paraId="1FAE839F" w14:textId="77777777" w:rsidR="00264CE9" w:rsidRPr="00887F6C" w:rsidRDefault="00264CE9" w:rsidP="000727A1">
            <w:pPr>
              <w:spacing w:before="20" w:after="20"/>
              <w:jc w:val="right"/>
              <w:rPr>
                <w:b/>
                <w:noProof/>
                <w:sz w:val="20"/>
              </w:rPr>
            </w:pPr>
            <w:r w:rsidRPr="00887F6C">
              <w:rPr>
                <w:b/>
                <w:noProof/>
                <w:sz w:val="20"/>
              </w:rPr>
              <w:t>-</w:t>
            </w:r>
          </w:p>
        </w:tc>
        <w:tc>
          <w:tcPr>
            <w:tcW w:w="868" w:type="dxa"/>
            <w:shd w:val="clear" w:color="auto" w:fill="auto"/>
            <w:vAlign w:val="center"/>
          </w:tcPr>
          <w:p w14:paraId="04FC352B" w14:textId="77777777" w:rsidR="00264CE9" w:rsidRPr="00887F6C" w:rsidRDefault="00264CE9" w:rsidP="000727A1">
            <w:pPr>
              <w:spacing w:before="20" w:after="20"/>
              <w:jc w:val="right"/>
              <w:rPr>
                <w:b/>
                <w:noProof/>
                <w:sz w:val="20"/>
              </w:rPr>
            </w:pPr>
            <w:r w:rsidRPr="00887F6C">
              <w:rPr>
                <w:b/>
                <w:noProof/>
                <w:sz w:val="20"/>
              </w:rPr>
              <w:t>-</w:t>
            </w:r>
          </w:p>
        </w:tc>
        <w:tc>
          <w:tcPr>
            <w:tcW w:w="868" w:type="dxa"/>
            <w:shd w:val="clear" w:color="auto" w:fill="auto"/>
            <w:vAlign w:val="center"/>
          </w:tcPr>
          <w:p w14:paraId="5A907442" w14:textId="77777777" w:rsidR="00264CE9" w:rsidRPr="00887F6C" w:rsidRDefault="00264CE9" w:rsidP="000727A1">
            <w:pPr>
              <w:spacing w:before="20" w:after="20"/>
              <w:jc w:val="right"/>
              <w:rPr>
                <w:b/>
                <w:noProof/>
                <w:sz w:val="20"/>
              </w:rPr>
            </w:pPr>
            <w:r w:rsidRPr="00887F6C">
              <w:rPr>
                <w:b/>
                <w:noProof/>
                <w:sz w:val="20"/>
              </w:rPr>
              <w:t>-</w:t>
            </w:r>
          </w:p>
        </w:tc>
        <w:tc>
          <w:tcPr>
            <w:tcW w:w="868" w:type="dxa"/>
            <w:shd w:val="clear" w:color="auto" w:fill="auto"/>
            <w:vAlign w:val="center"/>
          </w:tcPr>
          <w:p w14:paraId="72C8E64F" w14:textId="77777777" w:rsidR="00264CE9" w:rsidRPr="00887F6C" w:rsidRDefault="00264CE9" w:rsidP="000727A1">
            <w:pPr>
              <w:spacing w:before="20" w:after="20"/>
              <w:jc w:val="right"/>
              <w:rPr>
                <w:b/>
                <w:noProof/>
                <w:sz w:val="20"/>
              </w:rPr>
            </w:pPr>
          </w:p>
        </w:tc>
        <w:tc>
          <w:tcPr>
            <w:tcW w:w="868" w:type="dxa"/>
            <w:shd w:val="clear" w:color="auto" w:fill="auto"/>
            <w:vAlign w:val="center"/>
          </w:tcPr>
          <w:p w14:paraId="203858D7" w14:textId="77777777" w:rsidR="00264CE9" w:rsidRPr="00887F6C" w:rsidRDefault="00264CE9" w:rsidP="000727A1">
            <w:pPr>
              <w:spacing w:before="20" w:after="20"/>
              <w:jc w:val="right"/>
              <w:rPr>
                <w:b/>
                <w:noProof/>
                <w:sz w:val="20"/>
              </w:rPr>
            </w:pPr>
          </w:p>
        </w:tc>
        <w:tc>
          <w:tcPr>
            <w:tcW w:w="868" w:type="dxa"/>
            <w:shd w:val="clear" w:color="auto" w:fill="auto"/>
            <w:vAlign w:val="center"/>
          </w:tcPr>
          <w:p w14:paraId="2CB4F890" w14:textId="77777777" w:rsidR="00264CE9" w:rsidRPr="00887F6C" w:rsidRDefault="00264CE9" w:rsidP="000727A1">
            <w:pPr>
              <w:spacing w:before="20" w:after="20"/>
              <w:jc w:val="right"/>
              <w:rPr>
                <w:b/>
                <w:noProof/>
                <w:sz w:val="20"/>
              </w:rPr>
            </w:pPr>
          </w:p>
        </w:tc>
        <w:tc>
          <w:tcPr>
            <w:tcW w:w="887" w:type="dxa"/>
            <w:shd w:val="clear" w:color="auto" w:fill="auto"/>
          </w:tcPr>
          <w:p w14:paraId="35B07897" w14:textId="77777777" w:rsidR="00264CE9" w:rsidRPr="00887F6C" w:rsidRDefault="00264CE9" w:rsidP="000727A1">
            <w:pPr>
              <w:spacing w:before="20" w:after="20"/>
              <w:jc w:val="right"/>
              <w:rPr>
                <w:b/>
                <w:noProof/>
                <w:sz w:val="20"/>
              </w:rPr>
            </w:pPr>
          </w:p>
        </w:tc>
        <w:tc>
          <w:tcPr>
            <w:tcW w:w="1291" w:type="dxa"/>
            <w:shd w:val="clear" w:color="auto" w:fill="auto"/>
            <w:vAlign w:val="center"/>
          </w:tcPr>
          <w:p w14:paraId="4E0F0F3F" w14:textId="77777777" w:rsidR="00264CE9" w:rsidRPr="00887F6C" w:rsidRDefault="00264CE9" w:rsidP="000727A1">
            <w:pPr>
              <w:spacing w:before="20" w:after="20"/>
              <w:jc w:val="right"/>
              <w:rPr>
                <w:b/>
                <w:noProof/>
                <w:sz w:val="20"/>
              </w:rPr>
            </w:pPr>
          </w:p>
        </w:tc>
      </w:tr>
    </w:tbl>
    <w:p w14:paraId="5C9E9DA9" w14:textId="77777777" w:rsidR="00264CE9" w:rsidRPr="00887F6C" w:rsidRDefault="00264CE9" w:rsidP="000727A1">
      <w:pPr>
        <w:jc w:val="right"/>
        <w:rPr>
          <w:noProof/>
          <w:sz w:val="20"/>
        </w:rPr>
      </w:pPr>
      <w:r w:rsidRPr="00887F6C">
        <w:rPr>
          <w:noProof/>
          <w:sz w:val="20"/>
        </w:rPr>
        <w:t>milioane EUR (cu trei zecimale)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264CE9" w:rsidRPr="00887F6C" w14:paraId="68D19048" w14:textId="77777777" w:rsidTr="73C0F938">
        <w:trPr>
          <w:jc w:val="center"/>
        </w:trPr>
        <w:tc>
          <w:tcPr>
            <w:tcW w:w="4173" w:type="dxa"/>
            <w:tcBorders>
              <w:top w:val="nil"/>
              <w:left w:val="nil"/>
              <w:right w:val="nil"/>
            </w:tcBorders>
            <w:vAlign w:val="center"/>
          </w:tcPr>
          <w:p w14:paraId="4C133FC0" w14:textId="77777777" w:rsidR="00264CE9" w:rsidRPr="00887F6C" w:rsidRDefault="00264CE9" w:rsidP="000727A1">
            <w:pPr>
              <w:jc w:val="center"/>
              <w:rPr>
                <w:noProof/>
              </w:rPr>
            </w:pPr>
          </w:p>
        </w:tc>
        <w:tc>
          <w:tcPr>
            <w:tcW w:w="1560" w:type="dxa"/>
            <w:tcBorders>
              <w:top w:val="nil"/>
              <w:left w:val="nil"/>
              <w:right w:val="nil"/>
            </w:tcBorders>
          </w:tcPr>
          <w:p w14:paraId="19817D0C" w14:textId="77777777" w:rsidR="00264CE9" w:rsidRPr="00887F6C" w:rsidRDefault="00264CE9" w:rsidP="000727A1">
            <w:pPr>
              <w:rPr>
                <w:noProof/>
                <w:sz w:val="20"/>
              </w:rPr>
            </w:pPr>
          </w:p>
        </w:tc>
        <w:tc>
          <w:tcPr>
            <w:tcW w:w="534" w:type="dxa"/>
            <w:tcBorders>
              <w:top w:val="nil"/>
              <w:left w:val="nil"/>
            </w:tcBorders>
          </w:tcPr>
          <w:p w14:paraId="17A6F61A" w14:textId="77777777" w:rsidR="00264CE9" w:rsidRPr="00887F6C" w:rsidRDefault="00264CE9" w:rsidP="000727A1">
            <w:pPr>
              <w:jc w:val="center"/>
              <w:rPr>
                <w:noProof/>
                <w:sz w:val="20"/>
              </w:rPr>
            </w:pPr>
          </w:p>
        </w:tc>
        <w:tc>
          <w:tcPr>
            <w:tcW w:w="868" w:type="dxa"/>
            <w:vAlign w:val="center"/>
          </w:tcPr>
          <w:p w14:paraId="7B3BF485" w14:textId="77777777" w:rsidR="00264CE9" w:rsidRPr="00887F6C" w:rsidRDefault="00264CE9" w:rsidP="000727A1">
            <w:pPr>
              <w:jc w:val="center"/>
              <w:rPr>
                <w:noProof/>
                <w:sz w:val="20"/>
              </w:rPr>
            </w:pPr>
            <w:r w:rsidRPr="00887F6C">
              <w:rPr>
                <w:b/>
                <w:noProof/>
                <w:sz w:val="20"/>
              </w:rPr>
              <w:t>2021</w:t>
            </w:r>
          </w:p>
        </w:tc>
        <w:tc>
          <w:tcPr>
            <w:tcW w:w="868" w:type="dxa"/>
            <w:vAlign w:val="center"/>
          </w:tcPr>
          <w:p w14:paraId="4620918B" w14:textId="77777777" w:rsidR="00264CE9" w:rsidRPr="00887F6C" w:rsidRDefault="00264CE9" w:rsidP="000727A1">
            <w:pPr>
              <w:jc w:val="center"/>
              <w:rPr>
                <w:noProof/>
                <w:sz w:val="20"/>
              </w:rPr>
            </w:pPr>
            <w:r w:rsidRPr="00887F6C">
              <w:rPr>
                <w:b/>
                <w:noProof/>
                <w:sz w:val="20"/>
              </w:rPr>
              <w:t>2022</w:t>
            </w:r>
          </w:p>
        </w:tc>
        <w:tc>
          <w:tcPr>
            <w:tcW w:w="868" w:type="dxa"/>
            <w:vAlign w:val="center"/>
          </w:tcPr>
          <w:p w14:paraId="6A7C6BD1" w14:textId="77777777" w:rsidR="00264CE9" w:rsidRPr="00887F6C" w:rsidRDefault="00264CE9" w:rsidP="000727A1">
            <w:pPr>
              <w:jc w:val="center"/>
              <w:rPr>
                <w:noProof/>
                <w:sz w:val="20"/>
              </w:rPr>
            </w:pPr>
            <w:r w:rsidRPr="00887F6C">
              <w:rPr>
                <w:b/>
                <w:noProof/>
                <w:sz w:val="20"/>
              </w:rPr>
              <w:t>2023</w:t>
            </w:r>
          </w:p>
        </w:tc>
        <w:tc>
          <w:tcPr>
            <w:tcW w:w="868" w:type="dxa"/>
            <w:vAlign w:val="center"/>
          </w:tcPr>
          <w:p w14:paraId="42412776" w14:textId="77777777" w:rsidR="00264CE9" w:rsidRPr="00887F6C" w:rsidRDefault="00264CE9" w:rsidP="000727A1">
            <w:pPr>
              <w:jc w:val="center"/>
              <w:rPr>
                <w:noProof/>
                <w:sz w:val="20"/>
              </w:rPr>
            </w:pPr>
            <w:r w:rsidRPr="00887F6C">
              <w:rPr>
                <w:b/>
                <w:noProof/>
                <w:sz w:val="20"/>
              </w:rPr>
              <w:t>2024</w:t>
            </w:r>
          </w:p>
        </w:tc>
        <w:tc>
          <w:tcPr>
            <w:tcW w:w="868" w:type="dxa"/>
            <w:vAlign w:val="center"/>
          </w:tcPr>
          <w:p w14:paraId="5893C158" w14:textId="77777777" w:rsidR="00264CE9" w:rsidRPr="00887F6C" w:rsidRDefault="00264CE9" w:rsidP="000727A1">
            <w:pPr>
              <w:jc w:val="center"/>
              <w:rPr>
                <w:b/>
                <w:noProof/>
                <w:sz w:val="18"/>
              </w:rPr>
            </w:pPr>
            <w:r w:rsidRPr="00887F6C">
              <w:rPr>
                <w:b/>
                <w:noProof/>
                <w:sz w:val="18"/>
              </w:rPr>
              <w:t>2025</w:t>
            </w:r>
          </w:p>
        </w:tc>
        <w:tc>
          <w:tcPr>
            <w:tcW w:w="868" w:type="dxa"/>
            <w:vAlign w:val="center"/>
          </w:tcPr>
          <w:p w14:paraId="376D20E4" w14:textId="77777777" w:rsidR="00264CE9" w:rsidRPr="00887F6C" w:rsidRDefault="00264CE9" w:rsidP="000727A1">
            <w:pPr>
              <w:jc w:val="center"/>
              <w:rPr>
                <w:b/>
                <w:noProof/>
                <w:sz w:val="18"/>
              </w:rPr>
            </w:pPr>
            <w:r w:rsidRPr="00887F6C">
              <w:rPr>
                <w:b/>
                <w:noProof/>
                <w:sz w:val="18"/>
              </w:rPr>
              <w:t>2026</w:t>
            </w:r>
          </w:p>
        </w:tc>
        <w:tc>
          <w:tcPr>
            <w:tcW w:w="868" w:type="dxa"/>
            <w:vAlign w:val="center"/>
          </w:tcPr>
          <w:p w14:paraId="70938F16" w14:textId="77777777" w:rsidR="00264CE9" w:rsidRPr="00887F6C" w:rsidRDefault="00264CE9" w:rsidP="000727A1">
            <w:pPr>
              <w:jc w:val="center"/>
              <w:rPr>
                <w:b/>
                <w:noProof/>
                <w:sz w:val="18"/>
              </w:rPr>
            </w:pPr>
            <w:r w:rsidRPr="00887F6C">
              <w:rPr>
                <w:b/>
                <w:noProof/>
                <w:sz w:val="18"/>
              </w:rPr>
              <w:t>2027</w:t>
            </w:r>
          </w:p>
        </w:tc>
        <w:tc>
          <w:tcPr>
            <w:tcW w:w="877" w:type="dxa"/>
          </w:tcPr>
          <w:p w14:paraId="67E52B09" w14:textId="77777777" w:rsidR="00264CE9" w:rsidRPr="00887F6C" w:rsidRDefault="00264CE9" w:rsidP="000727A1">
            <w:pPr>
              <w:jc w:val="center"/>
              <w:rPr>
                <w:b/>
                <w:noProof/>
                <w:sz w:val="20"/>
              </w:rPr>
            </w:pPr>
            <w:r w:rsidRPr="00887F6C">
              <w:rPr>
                <w:b/>
                <w:i/>
                <w:noProof/>
                <w:sz w:val="20"/>
              </w:rPr>
              <w:t>După 2027</w:t>
            </w:r>
          </w:p>
        </w:tc>
        <w:tc>
          <w:tcPr>
            <w:tcW w:w="1292" w:type="dxa"/>
            <w:vAlign w:val="center"/>
          </w:tcPr>
          <w:p w14:paraId="5DB0F5C6" w14:textId="77777777" w:rsidR="00264CE9" w:rsidRPr="00887F6C" w:rsidRDefault="00264CE9" w:rsidP="000727A1">
            <w:pPr>
              <w:jc w:val="center"/>
              <w:rPr>
                <w:b/>
                <w:noProof/>
                <w:sz w:val="20"/>
              </w:rPr>
            </w:pPr>
            <w:r w:rsidRPr="00887F6C">
              <w:rPr>
                <w:b/>
                <w:noProof/>
                <w:sz w:val="20"/>
              </w:rPr>
              <w:t>TOTAL</w:t>
            </w:r>
          </w:p>
        </w:tc>
      </w:tr>
      <w:tr w:rsidR="00264CE9" w:rsidRPr="00887F6C" w14:paraId="455D1B47" w14:textId="77777777" w:rsidTr="73C0F938">
        <w:trPr>
          <w:jc w:val="center"/>
        </w:trPr>
        <w:tc>
          <w:tcPr>
            <w:tcW w:w="4173" w:type="dxa"/>
            <w:vMerge w:val="restart"/>
            <w:shd w:val="clear" w:color="auto" w:fill="C0C0C0"/>
            <w:vAlign w:val="center"/>
          </w:tcPr>
          <w:p w14:paraId="4A9914D0" w14:textId="77777777" w:rsidR="00264CE9" w:rsidRPr="00887F6C" w:rsidRDefault="00264CE9" w:rsidP="000727A1">
            <w:pPr>
              <w:jc w:val="center"/>
              <w:rPr>
                <w:b/>
                <w:noProof/>
              </w:rPr>
            </w:pPr>
            <w:r w:rsidRPr="00887F6C">
              <w:rPr>
                <w:b/>
                <w:noProof/>
                <w:sz w:val="22"/>
              </w:rPr>
              <w:t>TOTAL credite pentru RUBRICILE</w:t>
            </w:r>
            <w:r w:rsidRPr="00887F6C">
              <w:rPr>
                <w:noProof/>
              </w:rPr>
              <w:t xml:space="preserve"> din cadrul financiar multianual</w:t>
            </w:r>
            <w:r w:rsidRPr="00887F6C">
              <w:rPr>
                <w:b/>
                <w:noProof/>
                <w:sz w:val="22"/>
              </w:rPr>
              <w:t xml:space="preserve"> </w:t>
            </w:r>
          </w:p>
        </w:tc>
        <w:tc>
          <w:tcPr>
            <w:tcW w:w="2094" w:type="dxa"/>
            <w:gridSpan w:val="2"/>
            <w:vAlign w:val="center"/>
          </w:tcPr>
          <w:p w14:paraId="6DC056A9" w14:textId="77777777" w:rsidR="00264CE9" w:rsidRPr="00887F6C" w:rsidRDefault="00264CE9" w:rsidP="000727A1">
            <w:pPr>
              <w:rPr>
                <w:noProof/>
                <w:sz w:val="14"/>
              </w:rPr>
            </w:pPr>
            <w:r w:rsidRPr="00887F6C">
              <w:rPr>
                <w:noProof/>
                <w:sz w:val="18"/>
              </w:rPr>
              <w:t>Angajamente</w:t>
            </w:r>
          </w:p>
        </w:tc>
        <w:tc>
          <w:tcPr>
            <w:tcW w:w="868" w:type="dxa"/>
            <w:vAlign w:val="center"/>
          </w:tcPr>
          <w:p w14:paraId="06C98F34" w14:textId="77777777" w:rsidR="00264CE9" w:rsidRPr="00887F6C" w:rsidRDefault="00264CE9" w:rsidP="000727A1">
            <w:pPr>
              <w:spacing w:before="60" w:after="60"/>
              <w:jc w:val="right"/>
              <w:rPr>
                <w:noProof/>
                <w:sz w:val="20"/>
              </w:rPr>
            </w:pPr>
          </w:p>
        </w:tc>
        <w:tc>
          <w:tcPr>
            <w:tcW w:w="868" w:type="dxa"/>
            <w:vAlign w:val="center"/>
          </w:tcPr>
          <w:p w14:paraId="7D877077" w14:textId="77777777" w:rsidR="00264CE9" w:rsidRPr="00887F6C" w:rsidRDefault="00264CE9" w:rsidP="000727A1">
            <w:pPr>
              <w:spacing w:before="60" w:after="60"/>
              <w:jc w:val="right"/>
              <w:rPr>
                <w:noProof/>
                <w:sz w:val="20"/>
              </w:rPr>
            </w:pPr>
          </w:p>
        </w:tc>
        <w:tc>
          <w:tcPr>
            <w:tcW w:w="868" w:type="dxa"/>
            <w:vAlign w:val="center"/>
          </w:tcPr>
          <w:p w14:paraId="4FF2765F" w14:textId="77777777" w:rsidR="00264CE9" w:rsidRPr="00887F6C" w:rsidRDefault="00264CE9" w:rsidP="000727A1">
            <w:pPr>
              <w:spacing w:before="60" w:after="60"/>
              <w:jc w:val="right"/>
              <w:rPr>
                <w:noProof/>
                <w:sz w:val="20"/>
              </w:rPr>
            </w:pPr>
          </w:p>
        </w:tc>
        <w:tc>
          <w:tcPr>
            <w:tcW w:w="868" w:type="dxa"/>
            <w:vAlign w:val="center"/>
          </w:tcPr>
          <w:p w14:paraId="23B3FF24" w14:textId="77777777" w:rsidR="00264CE9" w:rsidRPr="00887F6C" w:rsidRDefault="00264CE9" w:rsidP="000727A1">
            <w:pPr>
              <w:spacing w:before="60" w:after="60"/>
              <w:jc w:val="right"/>
              <w:rPr>
                <w:noProof/>
                <w:sz w:val="20"/>
              </w:rPr>
            </w:pPr>
          </w:p>
        </w:tc>
        <w:tc>
          <w:tcPr>
            <w:tcW w:w="868" w:type="dxa"/>
            <w:vAlign w:val="center"/>
          </w:tcPr>
          <w:p w14:paraId="4B4FDFBE" w14:textId="77777777" w:rsidR="00264CE9" w:rsidRPr="00887F6C" w:rsidRDefault="00264CE9" w:rsidP="73C0F938">
            <w:pPr>
              <w:spacing w:before="60" w:after="60"/>
              <w:jc w:val="right"/>
              <w:rPr>
                <w:noProof/>
                <w:sz w:val="20"/>
                <w:szCs w:val="20"/>
              </w:rPr>
            </w:pPr>
            <w:r w:rsidRPr="00887F6C">
              <w:rPr>
                <w:noProof/>
                <w:sz w:val="20"/>
              </w:rPr>
              <w:t>34,250</w:t>
            </w:r>
          </w:p>
        </w:tc>
        <w:tc>
          <w:tcPr>
            <w:tcW w:w="868" w:type="dxa"/>
            <w:vAlign w:val="center"/>
          </w:tcPr>
          <w:p w14:paraId="524769CB" w14:textId="77777777" w:rsidR="00264CE9" w:rsidRPr="00887F6C" w:rsidRDefault="00264CE9" w:rsidP="73C0F938">
            <w:pPr>
              <w:spacing w:before="60" w:after="60"/>
              <w:jc w:val="right"/>
              <w:rPr>
                <w:noProof/>
                <w:sz w:val="20"/>
                <w:szCs w:val="20"/>
              </w:rPr>
            </w:pPr>
            <w:r w:rsidRPr="00887F6C">
              <w:rPr>
                <w:noProof/>
                <w:sz w:val="20"/>
              </w:rPr>
              <w:t>34,201</w:t>
            </w:r>
          </w:p>
        </w:tc>
        <w:tc>
          <w:tcPr>
            <w:tcW w:w="868" w:type="dxa"/>
            <w:vAlign w:val="center"/>
          </w:tcPr>
          <w:p w14:paraId="18B26E8F" w14:textId="77777777" w:rsidR="00264CE9" w:rsidRPr="00887F6C" w:rsidRDefault="00264CE9" w:rsidP="73C0F938">
            <w:pPr>
              <w:spacing w:before="60" w:after="60"/>
              <w:jc w:val="right"/>
              <w:rPr>
                <w:noProof/>
                <w:sz w:val="20"/>
                <w:szCs w:val="20"/>
              </w:rPr>
            </w:pPr>
            <w:r w:rsidRPr="00887F6C">
              <w:rPr>
                <w:noProof/>
                <w:sz w:val="20"/>
              </w:rPr>
              <w:t>36,902</w:t>
            </w:r>
          </w:p>
        </w:tc>
        <w:tc>
          <w:tcPr>
            <w:tcW w:w="877" w:type="dxa"/>
            <w:shd w:val="clear" w:color="auto" w:fill="A6A6A6" w:themeFill="background1" w:themeFillShade="A6"/>
            <w:vAlign w:val="center"/>
          </w:tcPr>
          <w:p w14:paraId="10482750" w14:textId="77777777" w:rsidR="00264CE9" w:rsidRPr="00887F6C" w:rsidRDefault="00264CE9" w:rsidP="73C0F938">
            <w:pPr>
              <w:spacing w:before="60" w:after="60"/>
              <w:jc w:val="right"/>
              <w:rPr>
                <w:noProof/>
                <w:sz w:val="20"/>
                <w:szCs w:val="20"/>
              </w:rPr>
            </w:pPr>
            <w:r w:rsidRPr="00887F6C">
              <w:rPr>
                <w:noProof/>
                <w:sz w:val="20"/>
              </w:rPr>
              <w:t>0</w:t>
            </w:r>
          </w:p>
        </w:tc>
        <w:tc>
          <w:tcPr>
            <w:tcW w:w="1292" w:type="dxa"/>
            <w:vAlign w:val="center"/>
          </w:tcPr>
          <w:p w14:paraId="3B18E6DA" w14:textId="77777777" w:rsidR="00264CE9" w:rsidRPr="00887F6C" w:rsidRDefault="00264CE9" w:rsidP="73C0F938">
            <w:pPr>
              <w:spacing w:before="60" w:after="60"/>
              <w:jc w:val="right"/>
              <w:rPr>
                <w:noProof/>
                <w:sz w:val="20"/>
                <w:szCs w:val="20"/>
              </w:rPr>
            </w:pPr>
            <w:r w:rsidRPr="00887F6C">
              <w:rPr>
                <w:noProof/>
                <w:sz w:val="20"/>
              </w:rPr>
              <w:t>105,353</w:t>
            </w:r>
          </w:p>
        </w:tc>
      </w:tr>
      <w:tr w:rsidR="00264CE9" w:rsidRPr="00887F6C" w14:paraId="563CECEF" w14:textId="77777777" w:rsidTr="73C0F938">
        <w:trPr>
          <w:jc w:val="center"/>
        </w:trPr>
        <w:tc>
          <w:tcPr>
            <w:tcW w:w="4173" w:type="dxa"/>
            <w:vMerge/>
          </w:tcPr>
          <w:p w14:paraId="1FEC43B8" w14:textId="77777777" w:rsidR="00264CE9" w:rsidRPr="00887F6C" w:rsidRDefault="00264CE9" w:rsidP="000727A1">
            <w:pPr>
              <w:rPr>
                <w:noProof/>
                <w:sz w:val="20"/>
              </w:rPr>
            </w:pPr>
          </w:p>
        </w:tc>
        <w:tc>
          <w:tcPr>
            <w:tcW w:w="2094" w:type="dxa"/>
            <w:gridSpan w:val="2"/>
            <w:vAlign w:val="center"/>
          </w:tcPr>
          <w:p w14:paraId="45EEA3EA" w14:textId="77777777" w:rsidR="00264CE9" w:rsidRPr="00887F6C" w:rsidRDefault="00264CE9" w:rsidP="000727A1">
            <w:pPr>
              <w:rPr>
                <w:noProof/>
                <w:sz w:val="14"/>
              </w:rPr>
            </w:pPr>
            <w:r w:rsidRPr="00887F6C">
              <w:rPr>
                <w:noProof/>
                <w:sz w:val="18"/>
              </w:rPr>
              <w:t>Plăți</w:t>
            </w:r>
          </w:p>
        </w:tc>
        <w:tc>
          <w:tcPr>
            <w:tcW w:w="868" w:type="dxa"/>
          </w:tcPr>
          <w:p w14:paraId="6F131914" w14:textId="77777777" w:rsidR="00264CE9" w:rsidRPr="00887F6C" w:rsidRDefault="00264CE9" w:rsidP="000727A1">
            <w:pPr>
              <w:spacing w:before="60" w:after="60"/>
              <w:jc w:val="right"/>
              <w:rPr>
                <w:noProof/>
                <w:sz w:val="20"/>
              </w:rPr>
            </w:pPr>
          </w:p>
        </w:tc>
        <w:tc>
          <w:tcPr>
            <w:tcW w:w="868" w:type="dxa"/>
          </w:tcPr>
          <w:p w14:paraId="4AB602A2" w14:textId="77777777" w:rsidR="00264CE9" w:rsidRPr="00887F6C" w:rsidRDefault="00264CE9" w:rsidP="000727A1">
            <w:pPr>
              <w:spacing w:before="60" w:after="60"/>
              <w:jc w:val="right"/>
              <w:rPr>
                <w:noProof/>
                <w:sz w:val="20"/>
              </w:rPr>
            </w:pPr>
          </w:p>
        </w:tc>
        <w:tc>
          <w:tcPr>
            <w:tcW w:w="868" w:type="dxa"/>
          </w:tcPr>
          <w:p w14:paraId="438FF01F" w14:textId="77777777" w:rsidR="00264CE9" w:rsidRPr="00887F6C" w:rsidRDefault="00264CE9" w:rsidP="000727A1">
            <w:pPr>
              <w:spacing w:before="60" w:after="60"/>
              <w:jc w:val="right"/>
              <w:rPr>
                <w:noProof/>
                <w:sz w:val="20"/>
              </w:rPr>
            </w:pPr>
          </w:p>
        </w:tc>
        <w:tc>
          <w:tcPr>
            <w:tcW w:w="868" w:type="dxa"/>
          </w:tcPr>
          <w:p w14:paraId="03FBA4FD" w14:textId="77777777" w:rsidR="00264CE9" w:rsidRPr="00887F6C" w:rsidRDefault="00264CE9" w:rsidP="000727A1">
            <w:pPr>
              <w:spacing w:before="60" w:after="60"/>
              <w:jc w:val="right"/>
              <w:rPr>
                <w:noProof/>
                <w:sz w:val="20"/>
              </w:rPr>
            </w:pPr>
          </w:p>
        </w:tc>
        <w:tc>
          <w:tcPr>
            <w:tcW w:w="868" w:type="dxa"/>
          </w:tcPr>
          <w:p w14:paraId="67F53B93" w14:textId="77777777" w:rsidR="00264CE9" w:rsidRPr="00887F6C" w:rsidRDefault="00264CE9" w:rsidP="73C0F938">
            <w:pPr>
              <w:spacing w:before="60" w:after="60"/>
              <w:jc w:val="right"/>
              <w:rPr>
                <w:noProof/>
                <w:sz w:val="20"/>
                <w:szCs w:val="20"/>
              </w:rPr>
            </w:pPr>
            <w:r w:rsidRPr="00887F6C">
              <w:rPr>
                <w:noProof/>
                <w:sz w:val="20"/>
              </w:rPr>
              <w:t xml:space="preserve">1,350 </w:t>
            </w:r>
          </w:p>
        </w:tc>
        <w:tc>
          <w:tcPr>
            <w:tcW w:w="868" w:type="dxa"/>
          </w:tcPr>
          <w:p w14:paraId="45FB630C" w14:textId="77777777" w:rsidR="00264CE9" w:rsidRPr="00887F6C" w:rsidRDefault="0A85D849" w:rsidP="73C0F938">
            <w:pPr>
              <w:spacing w:before="60" w:after="60"/>
              <w:jc w:val="right"/>
              <w:rPr>
                <w:noProof/>
                <w:sz w:val="20"/>
                <w:szCs w:val="20"/>
              </w:rPr>
            </w:pPr>
            <w:r w:rsidRPr="00887F6C">
              <w:rPr>
                <w:noProof/>
                <w:sz w:val="20"/>
              </w:rPr>
              <w:t>21,041</w:t>
            </w:r>
          </w:p>
        </w:tc>
        <w:tc>
          <w:tcPr>
            <w:tcW w:w="868" w:type="dxa"/>
          </w:tcPr>
          <w:p w14:paraId="5813ABBC" w14:textId="77777777" w:rsidR="00264CE9" w:rsidRPr="00887F6C" w:rsidRDefault="77318657" w:rsidP="73C0F938">
            <w:pPr>
              <w:spacing w:before="60" w:after="60"/>
              <w:jc w:val="right"/>
              <w:rPr>
                <w:noProof/>
                <w:sz w:val="20"/>
                <w:szCs w:val="20"/>
              </w:rPr>
            </w:pPr>
            <w:r w:rsidRPr="00887F6C">
              <w:rPr>
                <w:noProof/>
                <w:sz w:val="20"/>
              </w:rPr>
              <w:t xml:space="preserve">21,042 </w:t>
            </w:r>
          </w:p>
        </w:tc>
        <w:tc>
          <w:tcPr>
            <w:tcW w:w="877" w:type="dxa"/>
          </w:tcPr>
          <w:p w14:paraId="05B0261D" w14:textId="77777777" w:rsidR="00264CE9" w:rsidRPr="00887F6C" w:rsidRDefault="00264CE9" w:rsidP="73C0F938">
            <w:pPr>
              <w:spacing w:before="60" w:after="60"/>
              <w:jc w:val="right"/>
              <w:rPr>
                <w:noProof/>
                <w:sz w:val="20"/>
                <w:szCs w:val="20"/>
              </w:rPr>
            </w:pPr>
            <w:r w:rsidRPr="00887F6C">
              <w:rPr>
                <w:noProof/>
                <w:sz w:val="20"/>
              </w:rPr>
              <w:t xml:space="preserve">61,920 </w:t>
            </w:r>
          </w:p>
        </w:tc>
        <w:tc>
          <w:tcPr>
            <w:tcW w:w="1292" w:type="dxa"/>
          </w:tcPr>
          <w:p w14:paraId="51B2DFB4" w14:textId="77777777" w:rsidR="00264CE9" w:rsidRPr="00887F6C" w:rsidRDefault="00264CE9" w:rsidP="73C0F938">
            <w:pPr>
              <w:spacing w:before="60" w:after="60"/>
              <w:jc w:val="right"/>
              <w:rPr>
                <w:noProof/>
                <w:sz w:val="20"/>
                <w:szCs w:val="20"/>
              </w:rPr>
            </w:pPr>
            <w:r w:rsidRPr="00887F6C">
              <w:rPr>
                <w:noProof/>
                <w:sz w:val="20"/>
              </w:rPr>
              <w:t>105,353</w:t>
            </w:r>
          </w:p>
        </w:tc>
      </w:tr>
    </w:tbl>
    <w:p w14:paraId="7A5A5FEB" w14:textId="77777777" w:rsidR="00264CE9" w:rsidRPr="00887F6C" w:rsidRDefault="00264CE9" w:rsidP="000727A1">
      <w:pPr>
        <w:rPr>
          <w:noProof/>
        </w:rPr>
        <w:sectPr w:rsidR="00264CE9" w:rsidRPr="00887F6C" w:rsidSect="00826666">
          <w:headerReference w:type="default" r:id="rId15"/>
          <w:footerReference w:type="default" r:id="rId16"/>
          <w:headerReference w:type="first" r:id="rId17"/>
          <w:footerReference w:type="first" r:id="rId18"/>
          <w:pgSz w:w="16840" w:h="11907" w:orient="landscape" w:code="9"/>
          <w:pgMar w:top="1134" w:right="1418" w:bottom="1134" w:left="1418" w:header="709" w:footer="709" w:gutter="0"/>
          <w:cols w:space="708"/>
          <w:docGrid w:linePitch="360"/>
        </w:sectPr>
      </w:pPr>
    </w:p>
    <w:p w14:paraId="781EA511" w14:textId="1AA05780" w:rsidR="00264CE9" w:rsidRPr="00887F6C" w:rsidRDefault="004432B5" w:rsidP="004432B5">
      <w:pPr>
        <w:pStyle w:val="ManualHeading3"/>
        <w:rPr>
          <w:bCs/>
          <w:noProof/>
          <w:szCs w:val="24"/>
        </w:rPr>
      </w:pPr>
      <w:bookmarkStart w:id="44" w:name="_Toc514941993"/>
      <w:bookmarkStart w:id="45" w:name="_Toc520485220"/>
      <w:r w:rsidRPr="004432B5">
        <w:lastRenderedPageBreak/>
        <w:t>3.2.2.</w:t>
      </w:r>
      <w:r w:rsidRPr="004432B5">
        <w:tab/>
      </w:r>
      <w:r w:rsidR="00264CE9" w:rsidRPr="00887F6C">
        <w:rPr>
          <w:noProof/>
        </w:rPr>
        <w:t>Sinteza impactului estimat asupra creditelor cu caracter administrativ</w:t>
      </w:r>
      <w:bookmarkEnd w:id="44"/>
      <w:bookmarkEnd w:id="45"/>
    </w:p>
    <w:p w14:paraId="4AAF7031" w14:textId="77777777" w:rsidR="00264CE9" w:rsidRPr="00887F6C" w:rsidRDefault="007010A9" w:rsidP="000727A1">
      <w:pPr>
        <w:pStyle w:val="ListDash1"/>
        <w:rPr>
          <w:noProof/>
        </w:rPr>
      </w:pPr>
      <w:r w:rsidRPr="00887F6C">
        <w:rPr>
          <w:rFonts w:ascii="Wingdings" w:hAnsi="Wingdings"/>
          <w:noProof/>
        </w:rPr>
        <w:sym w:font="Wingdings" w:char="F0A8"/>
      </w:r>
      <w:r w:rsidRPr="00887F6C">
        <w:rPr>
          <w:noProof/>
        </w:rPr>
        <w:tab/>
        <w:t xml:space="preserve">Propunerea/inițiativa nu implică utilizarea de credite cu caracter administrativ </w:t>
      </w:r>
    </w:p>
    <w:p w14:paraId="476FDABF" w14:textId="77777777" w:rsidR="00264CE9" w:rsidRPr="00887F6C" w:rsidRDefault="007010A9" w:rsidP="000727A1">
      <w:pPr>
        <w:pStyle w:val="ListDash1"/>
        <w:rPr>
          <w:noProof/>
        </w:rPr>
      </w:pPr>
      <w:r w:rsidRPr="00887F6C">
        <w:rPr>
          <w:rFonts w:ascii="Wingdings" w:hAnsi="Wingdings"/>
          <w:noProof/>
        </w:rPr>
        <w:sym w:font="Wingdings" w:char="F078"/>
      </w:r>
      <w:r w:rsidRPr="00887F6C">
        <w:rPr>
          <w:noProof/>
        </w:rPr>
        <w:tab/>
        <w:t>Propunerea/inițiativa implică utilizarea de credite cu caracter administrativ, conform explicațiilor de mai jos:</w:t>
      </w:r>
    </w:p>
    <w:p w14:paraId="2927AE26" w14:textId="77777777" w:rsidR="00264CE9" w:rsidRPr="00887F6C" w:rsidRDefault="00264CE9" w:rsidP="000727A1">
      <w:pPr>
        <w:rPr>
          <w:noProof/>
          <w:sz w:val="20"/>
        </w:rPr>
      </w:pPr>
      <w:r w:rsidRPr="00887F6C">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64CE9" w:rsidRPr="00887F6C" w14:paraId="0F7FA8AE" w14:textId="77777777">
        <w:trPr>
          <w:trHeight w:val="585"/>
        </w:trPr>
        <w:tc>
          <w:tcPr>
            <w:tcW w:w="1980" w:type="dxa"/>
            <w:vAlign w:val="center"/>
          </w:tcPr>
          <w:p w14:paraId="7250BCB2" w14:textId="77777777" w:rsidR="00264CE9" w:rsidRPr="00887F6C" w:rsidRDefault="00264CE9" w:rsidP="000727A1">
            <w:pPr>
              <w:spacing w:before="60" w:after="60" w:line="200" w:lineRule="exact"/>
              <w:jc w:val="center"/>
              <w:rPr>
                <w:b/>
                <w:noProof/>
                <w:sz w:val="16"/>
                <w:szCs w:val="16"/>
              </w:rPr>
            </w:pPr>
            <w:r w:rsidRPr="00887F6C">
              <w:rPr>
                <w:b/>
                <w:noProof/>
                <w:sz w:val="16"/>
              </w:rPr>
              <w:t>Ani</w:t>
            </w:r>
          </w:p>
        </w:tc>
        <w:tc>
          <w:tcPr>
            <w:tcW w:w="1080" w:type="dxa"/>
            <w:vAlign w:val="center"/>
          </w:tcPr>
          <w:p w14:paraId="1E63F127" w14:textId="77777777" w:rsidR="00264CE9" w:rsidRPr="00887F6C" w:rsidRDefault="00264CE9" w:rsidP="000727A1">
            <w:pPr>
              <w:spacing w:before="60" w:after="60" w:line="200" w:lineRule="exact"/>
              <w:jc w:val="center"/>
              <w:rPr>
                <w:noProof/>
                <w:sz w:val="16"/>
                <w:szCs w:val="16"/>
              </w:rPr>
            </w:pPr>
            <w:r w:rsidRPr="00887F6C">
              <w:rPr>
                <w:b/>
                <w:noProof/>
                <w:sz w:val="20"/>
              </w:rPr>
              <w:t>2021</w:t>
            </w:r>
          </w:p>
        </w:tc>
        <w:tc>
          <w:tcPr>
            <w:tcW w:w="1080" w:type="dxa"/>
            <w:vAlign w:val="center"/>
          </w:tcPr>
          <w:p w14:paraId="7B271BA3" w14:textId="77777777" w:rsidR="00264CE9" w:rsidRPr="00887F6C" w:rsidRDefault="00264CE9" w:rsidP="000727A1">
            <w:pPr>
              <w:spacing w:before="60" w:after="60" w:line="200" w:lineRule="exact"/>
              <w:jc w:val="center"/>
              <w:rPr>
                <w:noProof/>
                <w:sz w:val="16"/>
                <w:szCs w:val="16"/>
              </w:rPr>
            </w:pPr>
            <w:r w:rsidRPr="00887F6C">
              <w:rPr>
                <w:b/>
                <w:noProof/>
                <w:sz w:val="20"/>
              </w:rPr>
              <w:t>2022</w:t>
            </w:r>
          </w:p>
        </w:tc>
        <w:tc>
          <w:tcPr>
            <w:tcW w:w="1080" w:type="dxa"/>
            <w:vAlign w:val="center"/>
          </w:tcPr>
          <w:p w14:paraId="265C3E71" w14:textId="77777777" w:rsidR="00264CE9" w:rsidRPr="00887F6C" w:rsidRDefault="00264CE9" w:rsidP="000727A1">
            <w:pPr>
              <w:spacing w:before="60" w:after="60" w:line="200" w:lineRule="exact"/>
              <w:jc w:val="center"/>
              <w:rPr>
                <w:noProof/>
                <w:sz w:val="16"/>
                <w:szCs w:val="16"/>
              </w:rPr>
            </w:pPr>
            <w:r w:rsidRPr="00887F6C">
              <w:rPr>
                <w:b/>
                <w:noProof/>
                <w:sz w:val="20"/>
              </w:rPr>
              <w:t>2023</w:t>
            </w:r>
          </w:p>
        </w:tc>
        <w:tc>
          <w:tcPr>
            <w:tcW w:w="1080" w:type="dxa"/>
            <w:vAlign w:val="center"/>
          </w:tcPr>
          <w:p w14:paraId="3BD44334" w14:textId="77777777" w:rsidR="00264CE9" w:rsidRPr="00887F6C" w:rsidRDefault="00264CE9" w:rsidP="000727A1">
            <w:pPr>
              <w:spacing w:before="60" w:after="60" w:line="200" w:lineRule="exact"/>
              <w:jc w:val="center"/>
              <w:rPr>
                <w:noProof/>
                <w:sz w:val="16"/>
                <w:szCs w:val="16"/>
              </w:rPr>
            </w:pPr>
            <w:r w:rsidRPr="00887F6C">
              <w:rPr>
                <w:b/>
                <w:noProof/>
                <w:sz w:val="20"/>
              </w:rPr>
              <w:t>2024</w:t>
            </w:r>
          </w:p>
        </w:tc>
        <w:tc>
          <w:tcPr>
            <w:tcW w:w="1080" w:type="dxa"/>
            <w:vAlign w:val="center"/>
          </w:tcPr>
          <w:p w14:paraId="5922E6AC" w14:textId="77777777" w:rsidR="00264CE9" w:rsidRPr="00887F6C" w:rsidRDefault="00264CE9" w:rsidP="000727A1">
            <w:pPr>
              <w:spacing w:line="200" w:lineRule="exact"/>
              <w:jc w:val="center"/>
              <w:rPr>
                <w:b/>
                <w:noProof/>
                <w:sz w:val="16"/>
                <w:szCs w:val="16"/>
              </w:rPr>
            </w:pPr>
            <w:r w:rsidRPr="00887F6C">
              <w:rPr>
                <w:b/>
                <w:noProof/>
                <w:sz w:val="18"/>
              </w:rPr>
              <w:t>2025</w:t>
            </w:r>
          </w:p>
        </w:tc>
        <w:tc>
          <w:tcPr>
            <w:tcW w:w="1080" w:type="dxa"/>
            <w:vAlign w:val="center"/>
          </w:tcPr>
          <w:p w14:paraId="2AF84AF3" w14:textId="77777777" w:rsidR="00264CE9" w:rsidRPr="00887F6C" w:rsidRDefault="00264CE9" w:rsidP="000727A1">
            <w:pPr>
              <w:spacing w:line="200" w:lineRule="exact"/>
              <w:jc w:val="center"/>
              <w:rPr>
                <w:b/>
                <w:noProof/>
                <w:sz w:val="16"/>
                <w:szCs w:val="16"/>
              </w:rPr>
            </w:pPr>
            <w:r w:rsidRPr="00887F6C">
              <w:rPr>
                <w:b/>
                <w:noProof/>
                <w:sz w:val="18"/>
              </w:rPr>
              <w:t>2026</w:t>
            </w:r>
          </w:p>
        </w:tc>
        <w:tc>
          <w:tcPr>
            <w:tcW w:w="1080" w:type="dxa"/>
            <w:vAlign w:val="center"/>
          </w:tcPr>
          <w:p w14:paraId="1260066D" w14:textId="77777777" w:rsidR="00264CE9" w:rsidRPr="00887F6C" w:rsidRDefault="00264CE9" w:rsidP="000727A1">
            <w:pPr>
              <w:spacing w:line="200" w:lineRule="exact"/>
              <w:jc w:val="center"/>
              <w:rPr>
                <w:b/>
                <w:noProof/>
                <w:sz w:val="16"/>
                <w:szCs w:val="16"/>
              </w:rPr>
            </w:pPr>
            <w:r w:rsidRPr="00887F6C">
              <w:rPr>
                <w:b/>
                <w:noProof/>
                <w:sz w:val="18"/>
              </w:rPr>
              <w:t>2027</w:t>
            </w:r>
          </w:p>
        </w:tc>
        <w:tc>
          <w:tcPr>
            <w:tcW w:w="1080" w:type="dxa"/>
            <w:vAlign w:val="center"/>
          </w:tcPr>
          <w:p w14:paraId="08E33547" w14:textId="77777777" w:rsidR="00264CE9" w:rsidRPr="00887F6C" w:rsidRDefault="00264CE9" w:rsidP="000727A1">
            <w:pPr>
              <w:spacing w:before="60" w:after="60" w:line="200" w:lineRule="exact"/>
              <w:jc w:val="center"/>
              <w:rPr>
                <w:b/>
                <w:noProof/>
                <w:sz w:val="16"/>
                <w:szCs w:val="16"/>
              </w:rPr>
            </w:pPr>
            <w:r w:rsidRPr="00887F6C">
              <w:rPr>
                <w:b/>
                <w:noProof/>
                <w:sz w:val="16"/>
              </w:rPr>
              <w:t>TOTAL</w:t>
            </w:r>
          </w:p>
        </w:tc>
      </w:tr>
    </w:tbl>
    <w:p w14:paraId="2F76E46B" w14:textId="77777777" w:rsidR="00264CE9" w:rsidRPr="00887F6C" w:rsidRDefault="00264CE9" w:rsidP="000727A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64CE9" w:rsidRPr="00887F6C" w14:paraId="6716278A" w14:textId="77777777">
        <w:trPr>
          <w:trHeight w:val="585"/>
        </w:trPr>
        <w:tc>
          <w:tcPr>
            <w:tcW w:w="1980" w:type="dxa"/>
            <w:shd w:val="clear" w:color="auto" w:fill="CCCCCC"/>
            <w:vAlign w:val="center"/>
          </w:tcPr>
          <w:p w14:paraId="7F25A21A" w14:textId="77777777" w:rsidR="00264CE9" w:rsidRPr="00887F6C" w:rsidRDefault="00264CE9" w:rsidP="000727A1">
            <w:pPr>
              <w:spacing w:before="60" w:after="60" w:line="200" w:lineRule="exact"/>
              <w:jc w:val="center"/>
              <w:rPr>
                <w:b/>
                <w:noProof/>
                <w:sz w:val="16"/>
                <w:szCs w:val="16"/>
              </w:rPr>
            </w:pPr>
            <w:r w:rsidRPr="00887F6C">
              <w:rPr>
                <w:b/>
                <w:noProof/>
                <w:sz w:val="16"/>
              </w:rPr>
              <w:t>RUBRICA 7</w:t>
            </w:r>
            <w:r w:rsidRPr="00887F6C">
              <w:rPr>
                <w:noProof/>
              </w:rPr>
              <w:t xml:space="preserve"> </w:t>
            </w:r>
            <w:r w:rsidRPr="00887F6C">
              <w:rPr>
                <w:noProof/>
              </w:rPr>
              <w:br/>
            </w:r>
            <w:r w:rsidRPr="00887F6C">
              <w:rPr>
                <w:b/>
                <w:noProof/>
                <w:sz w:val="16"/>
              </w:rPr>
              <w:t>din cadrul financiar multianual</w:t>
            </w:r>
          </w:p>
        </w:tc>
        <w:tc>
          <w:tcPr>
            <w:tcW w:w="1080" w:type="dxa"/>
            <w:vAlign w:val="center"/>
          </w:tcPr>
          <w:p w14:paraId="61C8B95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C7B9FE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DB2B543"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2BE0C2D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89FF42B"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B6700B1"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199275CC" w14:textId="77777777" w:rsidR="00264CE9" w:rsidRPr="00887F6C" w:rsidRDefault="00264CE9" w:rsidP="000727A1">
            <w:pPr>
              <w:spacing w:before="60" w:after="60" w:line="200" w:lineRule="exact"/>
              <w:jc w:val="right"/>
              <w:rPr>
                <w:b/>
                <w:noProof/>
                <w:sz w:val="16"/>
                <w:szCs w:val="16"/>
              </w:rPr>
            </w:pPr>
          </w:p>
        </w:tc>
        <w:tc>
          <w:tcPr>
            <w:tcW w:w="1080" w:type="dxa"/>
            <w:vAlign w:val="center"/>
          </w:tcPr>
          <w:p w14:paraId="22BDD160" w14:textId="77777777" w:rsidR="00264CE9" w:rsidRPr="00887F6C" w:rsidRDefault="00264CE9" w:rsidP="000727A1">
            <w:pPr>
              <w:spacing w:before="60" w:after="60" w:line="200" w:lineRule="exact"/>
              <w:jc w:val="right"/>
              <w:rPr>
                <w:b/>
                <w:noProof/>
                <w:sz w:val="16"/>
                <w:szCs w:val="16"/>
              </w:rPr>
            </w:pPr>
          </w:p>
        </w:tc>
      </w:tr>
      <w:tr w:rsidR="00264CE9" w:rsidRPr="00887F6C" w14:paraId="532A06B7" w14:textId="77777777">
        <w:trPr>
          <w:trHeight w:val="585"/>
        </w:trPr>
        <w:tc>
          <w:tcPr>
            <w:tcW w:w="1980" w:type="dxa"/>
            <w:vAlign w:val="center"/>
          </w:tcPr>
          <w:p w14:paraId="57F7C6E7" w14:textId="77777777" w:rsidR="00264CE9" w:rsidRPr="00887F6C" w:rsidRDefault="00264CE9" w:rsidP="000727A1">
            <w:pPr>
              <w:spacing w:before="60" w:after="60" w:line="200" w:lineRule="exact"/>
              <w:ind w:left="72"/>
              <w:jc w:val="left"/>
              <w:rPr>
                <w:noProof/>
                <w:sz w:val="16"/>
                <w:szCs w:val="16"/>
              </w:rPr>
            </w:pPr>
            <w:r w:rsidRPr="00887F6C">
              <w:rPr>
                <w:noProof/>
                <w:sz w:val="16"/>
              </w:rPr>
              <w:t xml:space="preserve">Resurse umane </w:t>
            </w:r>
          </w:p>
        </w:tc>
        <w:tc>
          <w:tcPr>
            <w:tcW w:w="1080" w:type="dxa"/>
            <w:vAlign w:val="center"/>
          </w:tcPr>
          <w:p w14:paraId="579669B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062EE4B"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2E5C9867"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14F6323"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D9B06A3"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F5A7BA6"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D466060" w14:textId="77777777" w:rsidR="00264CE9" w:rsidRPr="00887F6C" w:rsidRDefault="00264CE9" w:rsidP="000727A1">
            <w:pPr>
              <w:spacing w:before="60" w:after="60" w:line="200" w:lineRule="exact"/>
              <w:jc w:val="right"/>
              <w:rPr>
                <w:b/>
                <w:noProof/>
                <w:sz w:val="16"/>
                <w:szCs w:val="16"/>
              </w:rPr>
            </w:pPr>
          </w:p>
        </w:tc>
        <w:tc>
          <w:tcPr>
            <w:tcW w:w="1080" w:type="dxa"/>
            <w:vAlign w:val="center"/>
          </w:tcPr>
          <w:p w14:paraId="6FEC313E" w14:textId="77777777" w:rsidR="00264CE9" w:rsidRPr="00887F6C" w:rsidRDefault="00264CE9" w:rsidP="000727A1">
            <w:pPr>
              <w:spacing w:before="60" w:after="60" w:line="200" w:lineRule="exact"/>
              <w:jc w:val="right"/>
              <w:rPr>
                <w:b/>
                <w:noProof/>
                <w:sz w:val="16"/>
                <w:szCs w:val="16"/>
              </w:rPr>
            </w:pPr>
          </w:p>
        </w:tc>
      </w:tr>
      <w:tr w:rsidR="00264CE9" w:rsidRPr="00887F6C" w14:paraId="3DED4836" w14:textId="77777777">
        <w:trPr>
          <w:trHeight w:val="585"/>
        </w:trPr>
        <w:tc>
          <w:tcPr>
            <w:tcW w:w="1980" w:type="dxa"/>
            <w:vAlign w:val="center"/>
          </w:tcPr>
          <w:p w14:paraId="0E50899A" w14:textId="77777777" w:rsidR="00264CE9" w:rsidRPr="00887F6C" w:rsidRDefault="00264CE9" w:rsidP="000727A1">
            <w:pPr>
              <w:spacing w:before="60" w:after="60" w:line="200" w:lineRule="exact"/>
              <w:ind w:left="72"/>
              <w:jc w:val="left"/>
              <w:rPr>
                <w:noProof/>
                <w:sz w:val="16"/>
                <w:szCs w:val="16"/>
              </w:rPr>
            </w:pPr>
            <w:r w:rsidRPr="00887F6C">
              <w:rPr>
                <w:noProof/>
                <w:sz w:val="16"/>
              </w:rPr>
              <w:t xml:space="preserve">Alte cheltuieli administrative </w:t>
            </w:r>
          </w:p>
        </w:tc>
        <w:tc>
          <w:tcPr>
            <w:tcW w:w="1080" w:type="dxa"/>
            <w:vAlign w:val="center"/>
          </w:tcPr>
          <w:p w14:paraId="42BB9ABC"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22BE435"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8DE8AC9"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C7F306F"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6721659"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1D03045"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AD89C08" w14:textId="77777777" w:rsidR="00264CE9" w:rsidRPr="00887F6C" w:rsidRDefault="00264CE9" w:rsidP="000727A1">
            <w:pPr>
              <w:spacing w:before="60" w:after="60" w:line="200" w:lineRule="exact"/>
              <w:jc w:val="right"/>
              <w:rPr>
                <w:b/>
                <w:noProof/>
                <w:sz w:val="16"/>
                <w:szCs w:val="16"/>
              </w:rPr>
            </w:pPr>
          </w:p>
        </w:tc>
        <w:tc>
          <w:tcPr>
            <w:tcW w:w="1080" w:type="dxa"/>
            <w:vAlign w:val="center"/>
          </w:tcPr>
          <w:p w14:paraId="12E6DE5D" w14:textId="77777777" w:rsidR="00264CE9" w:rsidRPr="00887F6C" w:rsidRDefault="00264CE9" w:rsidP="000727A1">
            <w:pPr>
              <w:spacing w:before="60" w:after="60" w:line="200" w:lineRule="exact"/>
              <w:jc w:val="right"/>
              <w:rPr>
                <w:b/>
                <w:noProof/>
                <w:sz w:val="16"/>
                <w:szCs w:val="16"/>
              </w:rPr>
            </w:pPr>
          </w:p>
        </w:tc>
      </w:tr>
      <w:tr w:rsidR="00264CE9" w:rsidRPr="00887F6C" w14:paraId="3F7A123B" w14:textId="77777777">
        <w:trPr>
          <w:trHeight w:val="585"/>
        </w:trPr>
        <w:tc>
          <w:tcPr>
            <w:tcW w:w="1980" w:type="dxa"/>
            <w:shd w:val="clear" w:color="auto" w:fill="CCCCCC"/>
            <w:vAlign w:val="center"/>
          </w:tcPr>
          <w:p w14:paraId="52F822D2" w14:textId="77777777" w:rsidR="00264CE9" w:rsidRPr="00887F6C" w:rsidRDefault="00264CE9" w:rsidP="000727A1">
            <w:pPr>
              <w:spacing w:before="60" w:after="60" w:line="200" w:lineRule="exact"/>
              <w:jc w:val="center"/>
              <w:rPr>
                <w:b/>
                <w:noProof/>
                <w:sz w:val="16"/>
                <w:szCs w:val="16"/>
              </w:rPr>
            </w:pPr>
            <w:r w:rsidRPr="00887F6C">
              <w:rPr>
                <w:b/>
                <w:noProof/>
                <w:sz w:val="16"/>
              </w:rPr>
              <w:t>Subtotal RUBRICA 7</w:t>
            </w:r>
            <w:r w:rsidRPr="00887F6C">
              <w:rPr>
                <w:noProof/>
              </w:rPr>
              <w:t xml:space="preserve"> </w:t>
            </w:r>
            <w:r w:rsidRPr="00887F6C">
              <w:rPr>
                <w:noProof/>
              </w:rPr>
              <w:br/>
            </w:r>
            <w:r w:rsidRPr="00887F6C">
              <w:rPr>
                <w:b/>
                <w:noProof/>
                <w:sz w:val="16"/>
              </w:rPr>
              <w:t xml:space="preserve">din cadrul financiar multianual </w:t>
            </w:r>
          </w:p>
        </w:tc>
        <w:tc>
          <w:tcPr>
            <w:tcW w:w="1080" w:type="dxa"/>
            <w:vAlign w:val="center"/>
          </w:tcPr>
          <w:p w14:paraId="145CBF03"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5189F12"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C9B4C3B"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CC85357"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C321DA0"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9A767F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64CCE64" w14:textId="77777777" w:rsidR="00264CE9" w:rsidRPr="00887F6C" w:rsidRDefault="00264CE9" w:rsidP="000727A1">
            <w:pPr>
              <w:spacing w:before="60" w:after="60" w:line="200" w:lineRule="exact"/>
              <w:jc w:val="right"/>
              <w:rPr>
                <w:b/>
                <w:noProof/>
                <w:sz w:val="16"/>
                <w:szCs w:val="16"/>
              </w:rPr>
            </w:pPr>
          </w:p>
        </w:tc>
        <w:tc>
          <w:tcPr>
            <w:tcW w:w="1080" w:type="dxa"/>
            <w:vAlign w:val="center"/>
          </w:tcPr>
          <w:p w14:paraId="5B96B3BC" w14:textId="77777777" w:rsidR="00264CE9" w:rsidRPr="00887F6C" w:rsidRDefault="00264CE9" w:rsidP="000727A1">
            <w:pPr>
              <w:spacing w:before="60" w:after="60" w:line="200" w:lineRule="exact"/>
              <w:jc w:val="right"/>
              <w:rPr>
                <w:b/>
                <w:noProof/>
                <w:sz w:val="16"/>
                <w:szCs w:val="16"/>
              </w:rPr>
            </w:pPr>
          </w:p>
        </w:tc>
      </w:tr>
    </w:tbl>
    <w:p w14:paraId="491A4098" w14:textId="77777777" w:rsidR="00264CE9" w:rsidRPr="00887F6C" w:rsidRDefault="00264CE9" w:rsidP="000727A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64CE9" w:rsidRPr="00887F6C" w14:paraId="3B1683FF" w14:textId="77777777" w:rsidTr="6948CE82">
        <w:trPr>
          <w:trHeight w:val="585"/>
        </w:trPr>
        <w:tc>
          <w:tcPr>
            <w:tcW w:w="1980" w:type="dxa"/>
            <w:shd w:val="clear" w:color="auto" w:fill="CCCCCC"/>
            <w:vAlign w:val="center"/>
          </w:tcPr>
          <w:p w14:paraId="0F2CD4EC" w14:textId="77777777" w:rsidR="00264CE9" w:rsidRPr="00887F6C" w:rsidRDefault="38EAB029" w:rsidP="000727A1">
            <w:pPr>
              <w:spacing w:before="60" w:after="60" w:line="200" w:lineRule="exact"/>
              <w:jc w:val="center"/>
              <w:rPr>
                <w:noProof/>
                <w:sz w:val="16"/>
                <w:szCs w:val="16"/>
              </w:rPr>
            </w:pPr>
            <w:r w:rsidRPr="00887F6C">
              <w:rPr>
                <w:b/>
                <w:noProof/>
                <w:sz w:val="16"/>
              </w:rPr>
              <w:t>În afara RUBRICII 7</w:t>
            </w:r>
            <w:r w:rsidRPr="00887F6C">
              <w:rPr>
                <w:rStyle w:val="Referinnotdesubsol"/>
                <w:noProof/>
                <w:sz w:val="16"/>
              </w:rPr>
              <w:footnoteReference w:id="37"/>
            </w:r>
            <w:r w:rsidRPr="00887F6C">
              <w:rPr>
                <w:noProof/>
              </w:rPr>
              <w:t xml:space="preserve"> </w:t>
            </w:r>
            <w:r w:rsidRPr="00887F6C">
              <w:rPr>
                <w:noProof/>
              </w:rPr>
              <w:br/>
            </w:r>
            <w:r w:rsidRPr="00887F6C">
              <w:rPr>
                <w:b/>
                <w:noProof/>
                <w:sz w:val="16"/>
              </w:rPr>
              <w:t xml:space="preserve">din cadrul financiar multianual </w:t>
            </w:r>
          </w:p>
          <w:p w14:paraId="45F12312" w14:textId="77777777" w:rsidR="00264CE9" w:rsidRPr="00887F6C" w:rsidRDefault="00264CE9" w:rsidP="000727A1">
            <w:pPr>
              <w:spacing w:before="0" w:after="0" w:line="200" w:lineRule="exact"/>
              <w:jc w:val="center"/>
              <w:rPr>
                <w:b/>
                <w:noProof/>
                <w:sz w:val="16"/>
                <w:szCs w:val="16"/>
              </w:rPr>
            </w:pPr>
          </w:p>
        </w:tc>
        <w:tc>
          <w:tcPr>
            <w:tcW w:w="1080" w:type="dxa"/>
            <w:vAlign w:val="center"/>
          </w:tcPr>
          <w:p w14:paraId="4EDB525D"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EF3980B"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721CCB2A"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55AAFD0C"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1BBA99B1"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0A6D718"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7B968B9B" w14:textId="77777777" w:rsidR="00264CE9" w:rsidRPr="00887F6C" w:rsidRDefault="00264CE9" w:rsidP="000727A1">
            <w:pPr>
              <w:spacing w:before="60" w:after="60" w:line="200" w:lineRule="exact"/>
              <w:jc w:val="right"/>
              <w:rPr>
                <w:b/>
                <w:noProof/>
                <w:sz w:val="16"/>
                <w:szCs w:val="16"/>
              </w:rPr>
            </w:pPr>
          </w:p>
        </w:tc>
        <w:tc>
          <w:tcPr>
            <w:tcW w:w="1080" w:type="dxa"/>
            <w:vAlign w:val="center"/>
          </w:tcPr>
          <w:p w14:paraId="5976BBFB" w14:textId="77777777" w:rsidR="00264CE9" w:rsidRPr="00887F6C" w:rsidRDefault="00264CE9" w:rsidP="000727A1">
            <w:pPr>
              <w:spacing w:before="60" w:after="60" w:line="200" w:lineRule="exact"/>
              <w:jc w:val="right"/>
              <w:rPr>
                <w:b/>
                <w:noProof/>
                <w:sz w:val="16"/>
                <w:szCs w:val="16"/>
              </w:rPr>
            </w:pPr>
          </w:p>
        </w:tc>
      </w:tr>
      <w:tr w:rsidR="00264CE9" w:rsidRPr="00887F6C" w14:paraId="37E6E430" w14:textId="77777777" w:rsidTr="6948CE82">
        <w:trPr>
          <w:trHeight w:val="585"/>
        </w:trPr>
        <w:tc>
          <w:tcPr>
            <w:tcW w:w="1980" w:type="dxa"/>
            <w:vAlign w:val="center"/>
          </w:tcPr>
          <w:p w14:paraId="69D2921E" w14:textId="77777777" w:rsidR="00264CE9" w:rsidRPr="00887F6C" w:rsidRDefault="00264CE9" w:rsidP="000727A1">
            <w:pPr>
              <w:spacing w:before="60" w:after="60" w:line="200" w:lineRule="exact"/>
              <w:ind w:left="72"/>
              <w:jc w:val="left"/>
              <w:rPr>
                <w:noProof/>
                <w:sz w:val="16"/>
                <w:szCs w:val="16"/>
              </w:rPr>
            </w:pPr>
            <w:r w:rsidRPr="00887F6C">
              <w:rPr>
                <w:noProof/>
                <w:sz w:val="16"/>
              </w:rPr>
              <w:t xml:space="preserve">Resurse umane </w:t>
            </w:r>
          </w:p>
        </w:tc>
        <w:tc>
          <w:tcPr>
            <w:tcW w:w="1080" w:type="dxa"/>
            <w:vAlign w:val="center"/>
          </w:tcPr>
          <w:p w14:paraId="4E3C89D9"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3813AD4"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FBA8733"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1E15B24"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D721C9D" w14:textId="77777777" w:rsidR="00264CE9" w:rsidRPr="00887F6C" w:rsidRDefault="51C30142" w:rsidP="000727A1">
            <w:pPr>
              <w:spacing w:before="60" w:after="60" w:line="200" w:lineRule="exact"/>
              <w:jc w:val="right"/>
              <w:rPr>
                <w:noProof/>
                <w:sz w:val="16"/>
                <w:szCs w:val="16"/>
              </w:rPr>
            </w:pPr>
            <w:r w:rsidRPr="00887F6C">
              <w:rPr>
                <w:noProof/>
                <w:sz w:val="16"/>
              </w:rPr>
              <w:t>0,091</w:t>
            </w:r>
          </w:p>
        </w:tc>
        <w:tc>
          <w:tcPr>
            <w:tcW w:w="1080" w:type="dxa"/>
            <w:vAlign w:val="center"/>
          </w:tcPr>
          <w:p w14:paraId="5DC09724" w14:textId="77777777" w:rsidR="00264CE9" w:rsidRPr="00887F6C" w:rsidRDefault="51C30142" w:rsidP="000727A1">
            <w:pPr>
              <w:spacing w:before="60" w:after="60" w:line="200" w:lineRule="exact"/>
              <w:jc w:val="right"/>
              <w:rPr>
                <w:noProof/>
                <w:sz w:val="16"/>
                <w:szCs w:val="16"/>
              </w:rPr>
            </w:pPr>
            <w:r w:rsidRPr="00887F6C">
              <w:rPr>
                <w:noProof/>
                <w:sz w:val="16"/>
              </w:rPr>
              <w:t>0,091</w:t>
            </w:r>
          </w:p>
        </w:tc>
        <w:tc>
          <w:tcPr>
            <w:tcW w:w="1080" w:type="dxa"/>
            <w:vAlign w:val="center"/>
          </w:tcPr>
          <w:p w14:paraId="40732455" w14:textId="77777777" w:rsidR="00264CE9" w:rsidRPr="00887F6C" w:rsidRDefault="51C30142" w:rsidP="73C0F938">
            <w:pPr>
              <w:spacing w:before="60" w:after="60" w:line="200" w:lineRule="exact"/>
              <w:jc w:val="right"/>
              <w:rPr>
                <w:bCs/>
                <w:noProof/>
                <w:sz w:val="16"/>
                <w:szCs w:val="16"/>
              </w:rPr>
            </w:pPr>
            <w:r w:rsidRPr="00887F6C">
              <w:rPr>
                <w:noProof/>
                <w:sz w:val="16"/>
              </w:rPr>
              <w:t>0,091</w:t>
            </w:r>
          </w:p>
        </w:tc>
        <w:tc>
          <w:tcPr>
            <w:tcW w:w="1080" w:type="dxa"/>
            <w:vAlign w:val="center"/>
          </w:tcPr>
          <w:p w14:paraId="1C45AC12" w14:textId="77777777" w:rsidR="00264CE9" w:rsidRPr="00887F6C" w:rsidRDefault="664E293F" w:rsidP="73C0F938">
            <w:pPr>
              <w:spacing w:before="60" w:after="60" w:line="200" w:lineRule="exact"/>
              <w:jc w:val="right"/>
              <w:rPr>
                <w:b/>
                <w:bCs/>
                <w:noProof/>
                <w:sz w:val="16"/>
                <w:szCs w:val="16"/>
              </w:rPr>
            </w:pPr>
            <w:r w:rsidRPr="00887F6C">
              <w:rPr>
                <w:b/>
                <w:noProof/>
                <w:sz w:val="16"/>
              </w:rPr>
              <w:t>0,273</w:t>
            </w:r>
          </w:p>
        </w:tc>
      </w:tr>
      <w:tr w:rsidR="00264CE9" w:rsidRPr="00887F6C" w14:paraId="3081DC17" w14:textId="77777777" w:rsidTr="6948CE82">
        <w:trPr>
          <w:trHeight w:val="585"/>
        </w:trPr>
        <w:tc>
          <w:tcPr>
            <w:tcW w:w="1980" w:type="dxa"/>
            <w:vAlign w:val="center"/>
          </w:tcPr>
          <w:p w14:paraId="2FCCE160" w14:textId="77777777" w:rsidR="00264CE9" w:rsidRPr="00887F6C" w:rsidRDefault="00264CE9" w:rsidP="000727A1">
            <w:pPr>
              <w:spacing w:before="60" w:after="60" w:line="200" w:lineRule="exact"/>
              <w:ind w:left="72"/>
              <w:jc w:val="left"/>
              <w:rPr>
                <w:noProof/>
                <w:sz w:val="16"/>
                <w:szCs w:val="16"/>
              </w:rPr>
            </w:pPr>
            <w:r w:rsidRPr="00887F6C">
              <w:rPr>
                <w:noProof/>
                <w:sz w:val="16"/>
              </w:rPr>
              <w:t>Alte cheltuieli cu caracter administrativ</w:t>
            </w:r>
          </w:p>
        </w:tc>
        <w:tc>
          <w:tcPr>
            <w:tcW w:w="1080" w:type="dxa"/>
            <w:vAlign w:val="center"/>
          </w:tcPr>
          <w:p w14:paraId="61EEF4D8"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2733DB8F"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B7AD5AB"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263B700"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46701F1E" w14:textId="77777777" w:rsidR="00264CE9" w:rsidRPr="00887F6C" w:rsidRDefault="14CB413C" w:rsidP="00845097">
            <w:pPr>
              <w:spacing w:before="60" w:after="60" w:line="200" w:lineRule="exact"/>
              <w:jc w:val="right"/>
              <w:rPr>
                <w:noProof/>
                <w:sz w:val="16"/>
                <w:szCs w:val="16"/>
              </w:rPr>
            </w:pPr>
            <w:r w:rsidRPr="00887F6C">
              <w:rPr>
                <w:noProof/>
                <w:sz w:val="16"/>
              </w:rPr>
              <w:t>0,056</w:t>
            </w:r>
          </w:p>
        </w:tc>
        <w:tc>
          <w:tcPr>
            <w:tcW w:w="1080" w:type="dxa"/>
            <w:vAlign w:val="center"/>
          </w:tcPr>
          <w:p w14:paraId="56668A81" w14:textId="77777777" w:rsidR="00264CE9" w:rsidRPr="00887F6C" w:rsidRDefault="14CB413C" w:rsidP="000727A1">
            <w:pPr>
              <w:spacing w:before="60" w:after="60" w:line="200" w:lineRule="exact"/>
              <w:jc w:val="right"/>
              <w:rPr>
                <w:noProof/>
                <w:sz w:val="16"/>
                <w:szCs w:val="16"/>
              </w:rPr>
            </w:pPr>
            <w:r w:rsidRPr="00887F6C">
              <w:rPr>
                <w:noProof/>
                <w:sz w:val="16"/>
              </w:rPr>
              <w:t>0,006</w:t>
            </w:r>
          </w:p>
        </w:tc>
        <w:tc>
          <w:tcPr>
            <w:tcW w:w="1080" w:type="dxa"/>
            <w:vAlign w:val="center"/>
          </w:tcPr>
          <w:p w14:paraId="36DC6815" w14:textId="77777777" w:rsidR="00264CE9" w:rsidRPr="00887F6C" w:rsidRDefault="14CB413C" w:rsidP="73C0F938">
            <w:pPr>
              <w:spacing w:before="60" w:after="60" w:line="200" w:lineRule="exact"/>
              <w:jc w:val="right"/>
              <w:rPr>
                <w:bCs/>
                <w:noProof/>
                <w:sz w:val="16"/>
                <w:szCs w:val="16"/>
              </w:rPr>
            </w:pPr>
            <w:r w:rsidRPr="00887F6C">
              <w:rPr>
                <w:noProof/>
                <w:sz w:val="16"/>
              </w:rPr>
              <w:t>0,006</w:t>
            </w:r>
          </w:p>
        </w:tc>
        <w:tc>
          <w:tcPr>
            <w:tcW w:w="1080" w:type="dxa"/>
            <w:vAlign w:val="center"/>
          </w:tcPr>
          <w:p w14:paraId="4091B2B7" w14:textId="77777777" w:rsidR="00264CE9" w:rsidRPr="00887F6C" w:rsidRDefault="14CB413C" w:rsidP="73C0F938">
            <w:pPr>
              <w:spacing w:before="60" w:after="60" w:line="200" w:lineRule="exact"/>
              <w:jc w:val="right"/>
              <w:rPr>
                <w:b/>
                <w:bCs/>
                <w:noProof/>
                <w:sz w:val="16"/>
                <w:szCs w:val="16"/>
              </w:rPr>
            </w:pPr>
            <w:r w:rsidRPr="00887F6C">
              <w:rPr>
                <w:b/>
                <w:noProof/>
                <w:sz w:val="16"/>
              </w:rPr>
              <w:t>0,068</w:t>
            </w:r>
          </w:p>
        </w:tc>
      </w:tr>
      <w:tr w:rsidR="00264CE9" w:rsidRPr="00887F6C" w14:paraId="58816708" w14:textId="77777777" w:rsidTr="6948CE82">
        <w:trPr>
          <w:trHeight w:val="585"/>
        </w:trPr>
        <w:tc>
          <w:tcPr>
            <w:tcW w:w="1980" w:type="dxa"/>
            <w:shd w:val="clear" w:color="auto" w:fill="CCCCCC"/>
            <w:vAlign w:val="center"/>
          </w:tcPr>
          <w:p w14:paraId="00E52E62" w14:textId="77777777" w:rsidR="00264CE9" w:rsidRPr="00887F6C" w:rsidRDefault="00264CE9" w:rsidP="000727A1">
            <w:pPr>
              <w:spacing w:before="60" w:after="60" w:line="200" w:lineRule="exact"/>
              <w:jc w:val="center"/>
              <w:rPr>
                <w:b/>
                <w:noProof/>
                <w:sz w:val="16"/>
                <w:szCs w:val="16"/>
              </w:rPr>
            </w:pPr>
            <w:r w:rsidRPr="00887F6C">
              <w:rPr>
                <w:b/>
                <w:noProof/>
                <w:sz w:val="16"/>
              </w:rPr>
              <w:t>Subtotal în afara RUBRICII 7</w:t>
            </w:r>
            <w:r w:rsidRPr="00887F6C">
              <w:rPr>
                <w:noProof/>
              </w:rPr>
              <w:t xml:space="preserve"> </w:t>
            </w:r>
            <w:r w:rsidRPr="00887F6C">
              <w:rPr>
                <w:noProof/>
              </w:rPr>
              <w:br/>
            </w:r>
            <w:r w:rsidRPr="00887F6C">
              <w:rPr>
                <w:b/>
                <w:noProof/>
                <w:sz w:val="16"/>
              </w:rPr>
              <w:t xml:space="preserve">din cadrul financiar multianual </w:t>
            </w:r>
          </w:p>
        </w:tc>
        <w:tc>
          <w:tcPr>
            <w:tcW w:w="1080" w:type="dxa"/>
            <w:vAlign w:val="center"/>
          </w:tcPr>
          <w:p w14:paraId="733118C6"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D906675"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67B7658D"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01BFC445" w14:textId="77777777" w:rsidR="00264CE9" w:rsidRPr="00887F6C" w:rsidRDefault="00264CE9" w:rsidP="000727A1">
            <w:pPr>
              <w:spacing w:before="60" w:after="60" w:line="200" w:lineRule="exact"/>
              <w:jc w:val="right"/>
              <w:rPr>
                <w:noProof/>
                <w:sz w:val="16"/>
                <w:szCs w:val="16"/>
              </w:rPr>
            </w:pPr>
          </w:p>
        </w:tc>
        <w:tc>
          <w:tcPr>
            <w:tcW w:w="1080" w:type="dxa"/>
            <w:vAlign w:val="center"/>
          </w:tcPr>
          <w:p w14:paraId="34D929B7" w14:textId="77777777" w:rsidR="00264CE9" w:rsidRPr="00887F6C" w:rsidRDefault="1DC121EA" w:rsidP="000727A1">
            <w:pPr>
              <w:spacing w:before="60" w:after="60" w:line="200" w:lineRule="exact"/>
              <w:jc w:val="right"/>
              <w:rPr>
                <w:noProof/>
                <w:sz w:val="16"/>
                <w:szCs w:val="16"/>
              </w:rPr>
            </w:pPr>
            <w:r w:rsidRPr="00887F6C">
              <w:rPr>
                <w:noProof/>
                <w:sz w:val="16"/>
              </w:rPr>
              <w:t>0,147</w:t>
            </w:r>
          </w:p>
        </w:tc>
        <w:tc>
          <w:tcPr>
            <w:tcW w:w="1080" w:type="dxa"/>
            <w:vAlign w:val="center"/>
          </w:tcPr>
          <w:p w14:paraId="0A221020" w14:textId="77777777" w:rsidR="00264CE9" w:rsidRPr="00887F6C" w:rsidRDefault="1DC121EA" w:rsidP="000727A1">
            <w:pPr>
              <w:spacing w:before="60" w:after="60" w:line="200" w:lineRule="exact"/>
              <w:jc w:val="right"/>
              <w:rPr>
                <w:noProof/>
                <w:sz w:val="16"/>
                <w:szCs w:val="16"/>
              </w:rPr>
            </w:pPr>
            <w:r w:rsidRPr="00887F6C">
              <w:rPr>
                <w:noProof/>
                <w:sz w:val="16"/>
              </w:rPr>
              <w:t>0,097</w:t>
            </w:r>
          </w:p>
        </w:tc>
        <w:tc>
          <w:tcPr>
            <w:tcW w:w="1080" w:type="dxa"/>
            <w:vAlign w:val="center"/>
          </w:tcPr>
          <w:p w14:paraId="57D16068" w14:textId="77777777" w:rsidR="00264CE9" w:rsidRPr="00887F6C" w:rsidRDefault="1DC121EA" w:rsidP="73C0F938">
            <w:pPr>
              <w:spacing w:before="60" w:after="60" w:line="200" w:lineRule="exact"/>
              <w:jc w:val="right"/>
              <w:rPr>
                <w:bCs/>
                <w:noProof/>
                <w:sz w:val="16"/>
                <w:szCs w:val="16"/>
              </w:rPr>
            </w:pPr>
            <w:r w:rsidRPr="00887F6C">
              <w:rPr>
                <w:noProof/>
                <w:sz w:val="16"/>
              </w:rPr>
              <w:t>0,097</w:t>
            </w:r>
          </w:p>
        </w:tc>
        <w:tc>
          <w:tcPr>
            <w:tcW w:w="1080" w:type="dxa"/>
            <w:vAlign w:val="center"/>
          </w:tcPr>
          <w:p w14:paraId="166C6C3F" w14:textId="77777777" w:rsidR="00264CE9" w:rsidRPr="00887F6C" w:rsidRDefault="1DC121EA" w:rsidP="73C0F938">
            <w:pPr>
              <w:spacing w:before="60" w:after="60" w:line="200" w:lineRule="exact"/>
              <w:jc w:val="right"/>
              <w:rPr>
                <w:b/>
                <w:bCs/>
                <w:noProof/>
                <w:sz w:val="16"/>
                <w:szCs w:val="16"/>
              </w:rPr>
            </w:pPr>
            <w:r w:rsidRPr="00887F6C">
              <w:rPr>
                <w:b/>
                <w:noProof/>
                <w:sz w:val="16"/>
              </w:rPr>
              <w:t>0,341</w:t>
            </w:r>
          </w:p>
        </w:tc>
      </w:tr>
    </w:tbl>
    <w:p w14:paraId="775A75F2" w14:textId="77777777" w:rsidR="00264CE9" w:rsidRPr="00887F6C" w:rsidRDefault="00264CE9" w:rsidP="000727A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264CE9" w:rsidRPr="00887F6C" w14:paraId="5A0678D3" w14:textId="77777777" w:rsidTr="73C0F938">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14:paraId="646BAF29" w14:textId="77777777" w:rsidR="00264CE9" w:rsidRPr="00887F6C" w:rsidRDefault="00264CE9" w:rsidP="000727A1">
            <w:pPr>
              <w:spacing w:before="60" w:after="60" w:line="200" w:lineRule="exact"/>
              <w:jc w:val="center"/>
              <w:rPr>
                <w:noProof/>
                <w:sz w:val="16"/>
                <w:szCs w:val="16"/>
              </w:rPr>
            </w:pPr>
            <w:r w:rsidRPr="00887F6C">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14:paraId="122BA79E" w14:textId="77777777" w:rsidR="00264CE9" w:rsidRPr="00887F6C" w:rsidRDefault="00264CE9" w:rsidP="000727A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2FCA0535" w14:textId="77777777" w:rsidR="00264CE9" w:rsidRPr="00887F6C" w:rsidRDefault="00264CE9" w:rsidP="000727A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74368D8E" w14:textId="77777777" w:rsidR="00264CE9" w:rsidRPr="00887F6C" w:rsidRDefault="00264CE9" w:rsidP="000727A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6BE16F7A" w14:textId="77777777" w:rsidR="00264CE9" w:rsidRPr="00887F6C" w:rsidRDefault="00264CE9" w:rsidP="000727A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14:paraId="427E94EE" w14:textId="77777777" w:rsidR="00264CE9" w:rsidRPr="00887F6C" w:rsidRDefault="49ADE02F" w:rsidP="73C0F938">
            <w:pPr>
              <w:spacing w:before="60" w:after="60" w:line="200" w:lineRule="exact"/>
              <w:jc w:val="right"/>
              <w:rPr>
                <w:b/>
                <w:bCs/>
                <w:noProof/>
                <w:sz w:val="16"/>
                <w:szCs w:val="16"/>
              </w:rPr>
            </w:pPr>
            <w:r w:rsidRPr="00887F6C">
              <w:rPr>
                <w:b/>
                <w:noProof/>
                <w:sz w:val="16"/>
              </w:rPr>
              <w:t>0,147</w:t>
            </w:r>
          </w:p>
        </w:tc>
        <w:tc>
          <w:tcPr>
            <w:tcW w:w="1080" w:type="dxa"/>
            <w:tcBorders>
              <w:top w:val="single" w:sz="12" w:space="0" w:color="auto"/>
              <w:left w:val="single" w:sz="2" w:space="0" w:color="auto"/>
              <w:bottom w:val="single" w:sz="12" w:space="0" w:color="auto"/>
              <w:right w:val="single" w:sz="2" w:space="0" w:color="auto"/>
            </w:tcBorders>
            <w:vAlign w:val="center"/>
          </w:tcPr>
          <w:p w14:paraId="0D2440D0" w14:textId="77777777" w:rsidR="00264CE9" w:rsidRPr="00887F6C" w:rsidRDefault="49ADE02F" w:rsidP="73C0F938">
            <w:pPr>
              <w:spacing w:before="60" w:after="60" w:line="200" w:lineRule="exact"/>
              <w:jc w:val="right"/>
              <w:rPr>
                <w:b/>
                <w:bCs/>
                <w:noProof/>
                <w:sz w:val="16"/>
                <w:szCs w:val="16"/>
              </w:rPr>
            </w:pPr>
            <w:r w:rsidRPr="00887F6C">
              <w:rPr>
                <w:b/>
                <w:noProof/>
                <w:sz w:val="16"/>
              </w:rPr>
              <w:t>0,097</w:t>
            </w:r>
          </w:p>
        </w:tc>
        <w:tc>
          <w:tcPr>
            <w:tcW w:w="1080" w:type="dxa"/>
            <w:tcBorders>
              <w:top w:val="single" w:sz="12" w:space="0" w:color="auto"/>
              <w:left w:val="single" w:sz="2" w:space="0" w:color="auto"/>
              <w:bottom w:val="single" w:sz="12" w:space="0" w:color="auto"/>
              <w:right w:val="single" w:sz="2" w:space="0" w:color="auto"/>
            </w:tcBorders>
            <w:vAlign w:val="center"/>
          </w:tcPr>
          <w:p w14:paraId="42D71094" w14:textId="77777777" w:rsidR="00264CE9" w:rsidRPr="00887F6C" w:rsidRDefault="49ADE02F" w:rsidP="73C0F938">
            <w:pPr>
              <w:spacing w:before="60" w:after="60" w:line="200" w:lineRule="exact"/>
              <w:jc w:val="right"/>
              <w:rPr>
                <w:b/>
                <w:bCs/>
                <w:noProof/>
                <w:sz w:val="16"/>
                <w:szCs w:val="16"/>
              </w:rPr>
            </w:pPr>
            <w:r w:rsidRPr="00887F6C">
              <w:rPr>
                <w:b/>
                <w:noProof/>
                <w:sz w:val="16"/>
              </w:rPr>
              <w:t>0,097</w:t>
            </w:r>
          </w:p>
        </w:tc>
        <w:tc>
          <w:tcPr>
            <w:tcW w:w="1080" w:type="dxa"/>
            <w:tcBorders>
              <w:top w:val="single" w:sz="12" w:space="0" w:color="auto"/>
              <w:left w:val="single" w:sz="2" w:space="0" w:color="auto"/>
              <w:bottom w:val="single" w:sz="12" w:space="0" w:color="auto"/>
              <w:right w:val="single" w:sz="12" w:space="0" w:color="auto"/>
            </w:tcBorders>
            <w:vAlign w:val="center"/>
          </w:tcPr>
          <w:p w14:paraId="4FA3CD44" w14:textId="77777777" w:rsidR="00264CE9" w:rsidRPr="00887F6C" w:rsidRDefault="00264CE9" w:rsidP="73C0F938">
            <w:pPr>
              <w:spacing w:before="60" w:after="60" w:line="200" w:lineRule="exact"/>
              <w:jc w:val="right"/>
              <w:rPr>
                <w:b/>
                <w:bCs/>
                <w:noProof/>
                <w:sz w:val="16"/>
                <w:szCs w:val="16"/>
              </w:rPr>
            </w:pPr>
            <w:r w:rsidRPr="00887F6C">
              <w:rPr>
                <w:b/>
                <w:noProof/>
                <w:sz w:val="16"/>
              </w:rPr>
              <w:t>0,341</w:t>
            </w:r>
          </w:p>
        </w:tc>
      </w:tr>
    </w:tbl>
    <w:p w14:paraId="45562FA9" w14:textId="77777777" w:rsidR="00264CE9" w:rsidRPr="00887F6C" w:rsidRDefault="00264CE9" w:rsidP="000727A1">
      <w:pPr>
        <w:rPr>
          <w:noProof/>
          <w:sz w:val="18"/>
        </w:rPr>
      </w:pPr>
      <w:r w:rsidRPr="00887F6C">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14:paraId="166F4DA6" w14:textId="77777777" w:rsidR="00264CE9" w:rsidRPr="00887F6C" w:rsidRDefault="00264CE9" w:rsidP="000727A1">
      <w:pPr>
        <w:spacing w:before="0" w:after="200" w:line="276" w:lineRule="auto"/>
        <w:jc w:val="left"/>
        <w:rPr>
          <w:noProof/>
          <w:sz w:val="18"/>
        </w:rPr>
      </w:pPr>
      <w:r w:rsidRPr="00887F6C">
        <w:rPr>
          <w:noProof/>
        </w:rPr>
        <w:br w:type="page"/>
      </w:r>
    </w:p>
    <w:p w14:paraId="47029852" w14:textId="624C0D1F" w:rsidR="00264CE9" w:rsidRPr="00887F6C" w:rsidRDefault="004432B5" w:rsidP="004432B5">
      <w:pPr>
        <w:pStyle w:val="ManualHeading4"/>
        <w:rPr>
          <w:bCs/>
          <w:noProof/>
          <w:szCs w:val="24"/>
        </w:rPr>
      </w:pPr>
      <w:r w:rsidRPr="004432B5">
        <w:lastRenderedPageBreak/>
        <w:t>3.2.2.1.</w:t>
      </w:r>
      <w:r w:rsidRPr="004432B5">
        <w:tab/>
      </w:r>
      <w:r w:rsidR="00264CE9" w:rsidRPr="00887F6C">
        <w:rPr>
          <w:noProof/>
        </w:rPr>
        <w:t>Necesarul de resurse umane estimat</w:t>
      </w:r>
    </w:p>
    <w:p w14:paraId="499A5269" w14:textId="77777777" w:rsidR="00264CE9" w:rsidRPr="00887F6C" w:rsidRDefault="00264CE9" w:rsidP="000727A1">
      <w:pPr>
        <w:pStyle w:val="ListDash1"/>
        <w:rPr>
          <w:noProof/>
        </w:rPr>
      </w:pPr>
      <w:r w:rsidRPr="00887F6C">
        <w:rPr>
          <w:rFonts w:ascii="Wingdings" w:hAnsi="Wingdings"/>
          <w:noProof/>
        </w:rPr>
        <w:t></w:t>
      </w:r>
      <w:r w:rsidRPr="00887F6C">
        <w:rPr>
          <w:noProof/>
        </w:rPr>
        <w:tab/>
        <w:t xml:space="preserve">Propunerea/inițiativa nu implică utilizarea de resurse umane. </w:t>
      </w:r>
    </w:p>
    <w:p w14:paraId="40587111" w14:textId="77777777" w:rsidR="00264CE9" w:rsidRPr="00887F6C" w:rsidRDefault="38EAB029" w:rsidP="000727A1">
      <w:pPr>
        <w:pStyle w:val="ListDash1"/>
        <w:rPr>
          <w:noProof/>
        </w:rPr>
      </w:pPr>
      <w:r w:rsidRPr="00887F6C">
        <w:rPr>
          <w:rFonts w:ascii="Wingdings" w:hAnsi="Wingdings"/>
          <w:noProof/>
        </w:rPr>
        <w:t></w:t>
      </w:r>
      <w:r w:rsidRPr="00887F6C">
        <w:rPr>
          <w:noProof/>
        </w:rPr>
        <w:tab/>
        <w:t>Propunerea/inițiativa implică utilizarea de resurse umane, conform explicațiilor de mai jos</w:t>
      </w:r>
      <w:r w:rsidRPr="00887F6C">
        <w:rPr>
          <w:rStyle w:val="Referinnotdesubsol"/>
          <w:rFonts w:eastAsiaTheme="majorEastAsia"/>
          <w:noProof/>
        </w:rPr>
        <w:footnoteReference w:id="38"/>
      </w:r>
    </w:p>
    <w:p w14:paraId="1BF67ABC" w14:textId="77777777" w:rsidR="005374B1" w:rsidRPr="00887F6C" w:rsidRDefault="005374B1" w:rsidP="005374B1">
      <w:pPr>
        <w:spacing w:after="60"/>
        <w:jc w:val="right"/>
        <w:rPr>
          <w:i/>
          <w:noProof/>
          <w:sz w:val="20"/>
        </w:rPr>
      </w:pPr>
      <w:r w:rsidRPr="00887F6C">
        <w:rPr>
          <w:i/>
          <w:noProof/>
          <w:sz w:val="20"/>
        </w:rPr>
        <w:t>Estimări exprimate în unități de echivalent normă întreagă</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1"/>
        <w:gridCol w:w="1526"/>
        <w:gridCol w:w="965"/>
        <w:gridCol w:w="1106"/>
        <w:gridCol w:w="965"/>
        <w:gridCol w:w="1106"/>
        <w:gridCol w:w="1104"/>
        <w:gridCol w:w="969"/>
        <w:gridCol w:w="1091"/>
      </w:tblGrid>
      <w:tr w:rsidR="005374B1" w:rsidRPr="00887F6C" w14:paraId="77C06580" w14:textId="77777777" w:rsidTr="0068762E">
        <w:trPr>
          <w:trHeight w:val="289"/>
        </w:trPr>
        <w:tc>
          <w:tcPr>
            <w:tcW w:w="1472" w:type="pct"/>
            <w:gridSpan w:val="2"/>
            <w:vAlign w:val="center"/>
          </w:tcPr>
          <w:p w14:paraId="59CF44CE" w14:textId="77777777" w:rsidR="005374B1" w:rsidRPr="00887F6C" w:rsidRDefault="005374B1" w:rsidP="0068762E">
            <w:pPr>
              <w:pStyle w:val="Text1"/>
              <w:spacing w:before="40" w:after="40"/>
              <w:ind w:left="0"/>
              <w:jc w:val="center"/>
              <w:rPr>
                <w:i/>
                <w:noProof/>
                <w:sz w:val="16"/>
                <w:szCs w:val="16"/>
              </w:rPr>
            </w:pPr>
            <w:r w:rsidRPr="00887F6C">
              <w:rPr>
                <w:b/>
                <w:noProof/>
                <w:sz w:val="16"/>
              </w:rPr>
              <w:t>Ani</w:t>
            </w:r>
          </w:p>
        </w:tc>
        <w:tc>
          <w:tcPr>
            <w:tcW w:w="466" w:type="pct"/>
            <w:shd w:val="clear" w:color="auto" w:fill="auto"/>
            <w:vAlign w:val="center"/>
          </w:tcPr>
          <w:p w14:paraId="7F8F69C0" w14:textId="77777777" w:rsidR="005374B1" w:rsidRPr="00887F6C" w:rsidRDefault="005374B1" w:rsidP="0068762E">
            <w:pPr>
              <w:spacing w:before="20" w:after="20"/>
              <w:jc w:val="center"/>
              <w:rPr>
                <w:b/>
                <w:noProof/>
                <w:sz w:val="16"/>
                <w:szCs w:val="16"/>
              </w:rPr>
            </w:pPr>
            <w:r w:rsidRPr="00887F6C">
              <w:rPr>
                <w:b/>
                <w:noProof/>
                <w:sz w:val="20"/>
              </w:rPr>
              <w:t>2021</w:t>
            </w:r>
          </w:p>
        </w:tc>
        <w:tc>
          <w:tcPr>
            <w:tcW w:w="534" w:type="pct"/>
            <w:shd w:val="clear" w:color="auto" w:fill="auto"/>
            <w:vAlign w:val="center"/>
          </w:tcPr>
          <w:p w14:paraId="3BD8DF90" w14:textId="77777777" w:rsidR="005374B1" w:rsidRPr="00887F6C" w:rsidRDefault="005374B1" w:rsidP="0068762E">
            <w:pPr>
              <w:spacing w:before="20" w:after="20"/>
              <w:jc w:val="center"/>
              <w:rPr>
                <w:b/>
                <w:noProof/>
                <w:sz w:val="20"/>
              </w:rPr>
            </w:pPr>
            <w:r w:rsidRPr="00887F6C">
              <w:rPr>
                <w:b/>
                <w:noProof/>
                <w:sz w:val="20"/>
              </w:rPr>
              <w:t>2022</w:t>
            </w:r>
          </w:p>
        </w:tc>
        <w:tc>
          <w:tcPr>
            <w:tcW w:w="466" w:type="pct"/>
            <w:shd w:val="clear" w:color="auto" w:fill="auto"/>
            <w:vAlign w:val="center"/>
          </w:tcPr>
          <w:p w14:paraId="0A05780C" w14:textId="77777777" w:rsidR="005374B1" w:rsidRPr="00887F6C" w:rsidRDefault="005374B1" w:rsidP="0068762E">
            <w:pPr>
              <w:spacing w:before="20" w:after="20"/>
              <w:jc w:val="center"/>
              <w:rPr>
                <w:b/>
                <w:noProof/>
                <w:sz w:val="20"/>
              </w:rPr>
            </w:pPr>
            <w:r w:rsidRPr="00887F6C">
              <w:rPr>
                <w:b/>
                <w:noProof/>
                <w:sz w:val="20"/>
              </w:rPr>
              <w:t>2023</w:t>
            </w:r>
          </w:p>
        </w:tc>
        <w:tc>
          <w:tcPr>
            <w:tcW w:w="534" w:type="pct"/>
            <w:shd w:val="clear" w:color="auto" w:fill="auto"/>
            <w:vAlign w:val="center"/>
          </w:tcPr>
          <w:p w14:paraId="0EDB2AF2" w14:textId="77777777" w:rsidR="005374B1" w:rsidRPr="00887F6C" w:rsidRDefault="005374B1" w:rsidP="0068762E">
            <w:pPr>
              <w:spacing w:before="20" w:after="20"/>
              <w:jc w:val="center"/>
              <w:rPr>
                <w:b/>
                <w:noProof/>
                <w:sz w:val="20"/>
              </w:rPr>
            </w:pPr>
            <w:r w:rsidRPr="00887F6C">
              <w:rPr>
                <w:b/>
                <w:noProof/>
                <w:sz w:val="20"/>
              </w:rPr>
              <w:t>2024</w:t>
            </w:r>
          </w:p>
        </w:tc>
        <w:tc>
          <w:tcPr>
            <w:tcW w:w="533" w:type="pct"/>
            <w:shd w:val="clear" w:color="auto" w:fill="auto"/>
            <w:vAlign w:val="center"/>
          </w:tcPr>
          <w:p w14:paraId="090B3D71" w14:textId="77777777" w:rsidR="005374B1" w:rsidRPr="00887F6C" w:rsidRDefault="005374B1" w:rsidP="0068762E">
            <w:pPr>
              <w:jc w:val="center"/>
              <w:rPr>
                <w:b/>
                <w:noProof/>
                <w:sz w:val="20"/>
              </w:rPr>
            </w:pPr>
            <w:r w:rsidRPr="00887F6C">
              <w:rPr>
                <w:b/>
                <w:noProof/>
                <w:sz w:val="20"/>
              </w:rPr>
              <w:t>2025</w:t>
            </w:r>
          </w:p>
        </w:tc>
        <w:tc>
          <w:tcPr>
            <w:tcW w:w="468" w:type="pct"/>
            <w:shd w:val="clear" w:color="auto" w:fill="auto"/>
            <w:vAlign w:val="center"/>
          </w:tcPr>
          <w:p w14:paraId="0F40BC05" w14:textId="77777777" w:rsidR="005374B1" w:rsidRPr="00887F6C" w:rsidRDefault="005374B1" w:rsidP="0068762E">
            <w:pPr>
              <w:jc w:val="center"/>
              <w:rPr>
                <w:b/>
                <w:noProof/>
                <w:sz w:val="20"/>
              </w:rPr>
            </w:pPr>
            <w:r w:rsidRPr="00887F6C">
              <w:rPr>
                <w:b/>
                <w:noProof/>
                <w:sz w:val="20"/>
              </w:rPr>
              <w:t>2026</w:t>
            </w:r>
          </w:p>
        </w:tc>
        <w:tc>
          <w:tcPr>
            <w:tcW w:w="527" w:type="pct"/>
            <w:shd w:val="clear" w:color="auto" w:fill="auto"/>
            <w:vAlign w:val="center"/>
          </w:tcPr>
          <w:p w14:paraId="4179C67C" w14:textId="77777777" w:rsidR="005374B1" w:rsidRPr="00887F6C" w:rsidRDefault="005374B1" w:rsidP="0068762E">
            <w:pPr>
              <w:jc w:val="center"/>
              <w:rPr>
                <w:b/>
                <w:noProof/>
                <w:sz w:val="20"/>
              </w:rPr>
            </w:pPr>
            <w:r w:rsidRPr="00887F6C">
              <w:rPr>
                <w:b/>
                <w:noProof/>
                <w:sz w:val="20"/>
              </w:rPr>
              <w:t>2027</w:t>
            </w:r>
          </w:p>
        </w:tc>
      </w:tr>
      <w:tr w:rsidR="005374B1" w:rsidRPr="00887F6C" w14:paraId="266FA39B" w14:textId="77777777" w:rsidTr="0068762E">
        <w:trPr>
          <w:trHeight w:val="289"/>
        </w:trPr>
        <w:tc>
          <w:tcPr>
            <w:tcW w:w="5000" w:type="pct"/>
            <w:gridSpan w:val="9"/>
          </w:tcPr>
          <w:p w14:paraId="2B02D344" w14:textId="77777777" w:rsidR="005374B1" w:rsidRPr="00887F6C" w:rsidRDefault="005374B1" w:rsidP="0068762E">
            <w:pPr>
              <w:jc w:val="left"/>
              <w:rPr>
                <w:noProof/>
                <w:sz w:val="16"/>
                <w:szCs w:val="16"/>
              </w:rPr>
            </w:pPr>
            <w:r w:rsidRPr="00887F6C">
              <w:rPr>
                <w:rFonts w:ascii="Wingdings" w:hAnsi="Wingdings"/>
                <w:b/>
                <w:noProof/>
                <w:sz w:val="16"/>
              </w:rPr>
              <w:t>□</w:t>
            </w:r>
            <w:r w:rsidRPr="00887F6C">
              <w:rPr>
                <w:b/>
                <w:noProof/>
                <w:sz w:val="16"/>
              </w:rPr>
              <w:t xml:space="preserve"> Posturi din schema de personal (funcționari și agenți temporari)</w:t>
            </w:r>
          </w:p>
        </w:tc>
      </w:tr>
      <w:tr w:rsidR="005374B1" w:rsidRPr="00887F6C" w14:paraId="7298FD31" w14:textId="77777777" w:rsidTr="0068762E">
        <w:trPr>
          <w:trHeight w:val="289"/>
        </w:trPr>
        <w:tc>
          <w:tcPr>
            <w:tcW w:w="1472" w:type="pct"/>
            <w:gridSpan w:val="2"/>
          </w:tcPr>
          <w:p w14:paraId="23E44B39" w14:textId="77777777" w:rsidR="005374B1" w:rsidRPr="00887F6C" w:rsidRDefault="005374B1" w:rsidP="0068762E">
            <w:pPr>
              <w:pStyle w:val="Text1"/>
              <w:spacing w:beforeLines="20" w:before="48" w:afterLines="20" w:after="48"/>
              <w:ind w:left="134"/>
              <w:jc w:val="left"/>
              <w:rPr>
                <w:b/>
                <w:noProof/>
                <w:sz w:val="16"/>
                <w:szCs w:val="16"/>
              </w:rPr>
            </w:pPr>
            <w:r w:rsidRPr="00887F6C">
              <w:rPr>
                <w:noProof/>
                <w:sz w:val="16"/>
              </w:rPr>
              <w:t>Sediu central și reprezentanțele Comisiei</w:t>
            </w:r>
          </w:p>
        </w:tc>
        <w:tc>
          <w:tcPr>
            <w:tcW w:w="466" w:type="pct"/>
            <w:shd w:val="clear" w:color="auto" w:fill="auto"/>
            <w:vAlign w:val="center"/>
          </w:tcPr>
          <w:p w14:paraId="0826A25A" w14:textId="77777777" w:rsidR="005374B1" w:rsidRPr="00887F6C" w:rsidRDefault="005374B1" w:rsidP="0068762E">
            <w:pPr>
              <w:spacing w:beforeLines="20" w:before="48" w:afterLines="20" w:after="48"/>
              <w:jc w:val="center"/>
              <w:rPr>
                <w:noProof/>
                <w:sz w:val="16"/>
                <w:szCs w:val="16"/>
              </w:rPr>
            </w:pPr>
          </w:p>
        </w:tc>
        <w:tc>
          <w:tcPr>
            <w:tcW w:w="534" w:type="pct"/>
            <w:shd w:val="clear" w:color="auto" w:fill="auto"/>
            <w:vAlign w:val="center"/>
          </w:tcPr>
          <w:p w14:paraId="4D2F059A" w14:textId="77777777" w:rsidR="005374B1" w:rsidRPr="00887F6C" w:rsidRDefault="005374B1" w:rsidP="0068762E">
            <w:pPr>
              <w:spacing w:beforeLines="20" w:before="48" w:afterLines="20" w:after="48"/>
              <w:jc w:val="center"/>
              <w:rPr>
                <w:noProof/>
                <w:sz w:val="16"/>
                <w:szCs w:val="16"/>
              </w:rPr>
            </w:pPr>
          </w:p>
        </w:tc>
        <w:tc>
          <w:tcPr>
            <w:tcW w:w="466" w:type="pct"/>
            <w:shd w:val="clear" w:color="auto" w:fill="auto"/>
            <w:vAlign w:val="center"/>
          </w:tcPr>
          <w:p w14:paraId="1FF6B38C" w14:textId="77777777" w:rsidR="005374B1" w:rsidRPr="00887F6C" w:rsidRDefault="005374B1" w:rsidP="0068762E">
            <w:pPr>
              <w:spacing w:beforeLines="20" w:before="48" w:afterLines="20" w:after="48"/>
              <w:jc w:val="center"/>
              <w:rPr>
                <w:noProof/>
                <w:sz w:val="16"/>
                <w:szCs w:val="16"/>
              </w:rPr>
            </w:pPr>
          </w:p>
        </w:tc>
        <w:tc>
          <w:tcPr>
            <w:tcW w:w="534" w:type="pct"/>
            <w:shd w:val="clear" w:color="auto" w:fill="auto"/>
            <w:vAlign w:val="center"/>
          </w:tcPr>
          <w:p w14:paraId="5652CA17" w14:textId="77777777" w:rsidR="005374B1" w:rsidRPr="00887F6C" w:rsidRDefault="005374B1" w:rsidP="0068762E">
            <w:pPr>
              <w:spacing w:beforeLines="20" w:before="48" w:afterLines="20" w:after="48"/>
              <w:jc w:val="center"/>
              <w:rPr>
                <w:noProof/>
                <w:sz w:val="16"/>
                <w:szCs w:val="16"/>
              </w:rPr>
            </w:pPr>
          </w:p>
        </w:tc>
        <w:tc>
          <w:tcPr>
            <w:tcW w:w="533" w:type="pct"/>
            <w:shd w:val="clear" w:color="auto" w:fill="auto"/>
            <w:vAlign w:val="center"/>
          </w:tcPr>
          <w:p w14:paraId="411FB217" w14:textId="77777777" w:rsidR="005374B1" w:rsidRPr="00887F6C" w:rsidRDefault="005374B1" w:rsidP="0068762E">
            <w:pPr>
              <w:spacing w:beforeLines="20" w:before="48" w:afterLines="20" w:after="48"/>
              <w:jc w:val="center"/>
              <w:rPr>
                <w:noProof/>
                <w:sz w:val="16"/>
                <w:szCs w:val="16"/>
              </w:rPr>
            </w:pPr>
          </w:p>
        </w:tc>
        <w:tc>
          <w:tcPr>
            <w:tcW w:w="468" w:type="pct"/>
            <w:shd w:val="clear" w:color="auto" w:fill="auto"/>
            <w:vAlign w:val="center"/>
          </w:tcPr>
          <w:p w14:paraId="77FFFF1C" w14:textId="77777777" w:rsidR="005374B1" w:rsidRPr="00887F6C" w:rsidRDefault="005374B1" w:rsidP="0068762E">
            <w:pPr>
              <w:spacing w:beforeLines="20" w:before="48" w:afterLines="20" w:after="48"/>
              <w:jc w:val="center"/>
              <w:rPr>
                <w:noProof/>
                <w:sz w:val="16"/>
                <w:szCs w:val="16"/>
              </w:rPr>
            </w:pPr>
          </w:p>
        </w:tc>
        <w:tc>
          <w:tcPr>
            <w:tcW w:w="527" w:type="pct"/>
            <w:shd w:val="clear" w:color="auto" w:fill="auto"/>
            <w:vAlign w:val="center"/>
          </w:tcPr>
          <w:p w14:paraId="32EABE72" w14:textId="77777777" w:rsidR="005374B1" w:rsidRPr="00887F6C" w:rsidRDefault="005374B1" w:rsidP="0068762E">
            <w:pPr>
              <w:spacing w:beforeLines="20" w:before="48" w:afterLines="20" w:after="48"/>
              <w:jc w:val="center"/>
              <w:rPr>
                <w:noProof/>
                <w:sz w:val="16"/>
                <w:szCs w:val="16"/>
              </w:rPr>
            </w:pPr>
          </w:p>
        </w:tc>
      </w:tr>
      <w:tr w:rsidR="005374B1" w:rsidRPr="00887F6C" w14:paraId="3C0F17F6" w14:textId="77777777" w:rsidTr="0068762E">
        <w:trPr>
          <w:trHeight w:val="289"/>
        </w:trPr>
        <w:tc>
          <w:tcPr>
            <w:tcW w:w="1472" w:type="pct"/>
            <w:gridSpan w:val="2"/>
          </w:tcPr>
          <w:p w14:paraId="72364293" w14:textId="77777777" w:rsidR="005374B1" w:rsidRPr="00887F6C" w:rsidRDefault="005374B1" w:rsidP="0068762E">
            <w:pPr>
              <w:pStyle w:val="Text1"/>
              <w:spacing w:beforeLines="20" w:before="48" w:afterLines="20" w:after="48"/>
              <w:ind w:left="134"/>
              <w:jc w:val="left"/>
              <w:rPr>
                <w:noProof/>
                <w:sz w:val="16"/>
                <w:szCs w:val="16"/>
              </w:rPr>
            </w:pPr>
            <w:r w:rsidRPr="00887F6C">
              <w:rPr>
                <w:noProof/>
                <w:sz w:val="16"/>
              </w:rPr>
              <w:t>Delegații</w:t>
            </w:r>
          </w:p>
        </w:tc>
        <w:tc>
          <w:tcPr>
            <w:tcW w:w="466" w:type="pct"/>
            <w:shd w:val="clear" w:color="auto" w:fill="auto"/>
            <w:vAlign w:val="center"/>
          </w:tcPr>
          <w:p w14:paraId="26A4F252"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20F1037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591DBCBF"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64DEDC27"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auto"/>
            <w:vAlign w:val="center"/>
          </w:tcPr>
          <w:p w14:paraId="54B0AC2B"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shd w:val="clear" w:color="auto" w:fill="auto"/>
            <w:vAlign w:val="center"/>
          </w:tcPr>
          <w:p w14:paraId="18C9CBF5"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shd w:val="clear" w:color="auto" w:fill="auto"/>
            <w:vAlign w:val="center"/>
          </w:tcPr>
          <w:p w14:paraId="10A243C8"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7095EFCF" w14:textId="77777777" w:rsidTr="0068762E">
        <w:trPr>
          <w:trHeight w:val="289"/>
        </w:trPr>
        <w:tc>
          <w:tcPr>
            <w:tcW w:w="1472" w:type="pct"/>
            <w:gridSpan w:val="2"/>
          </w:tcPr>
          <w:p w14:paraId="2A171D13" w14:textId="77777777" w:rsidR="005374B1" w:rsidRPr="00887F6C" w:rsidRDefault="005374B1" w:rsidP="0068762E">
            <w:pPr>
              <w:pStyle w:val="Text1"/>
              <w:spacing w:beforeLines="20" w:before="48" w:afterLines="20" w:after="48"/>
              <w:ind w:left="134"/>
              <w:jc w:val="left"/>
              <w:rPr>
                <w:noProof/>
                <w:sz w:val="16"/>
                <w:szCs w:val="16"/>
              </w:rPr>
            </w:pPr>
            <w:r w:rsidRPr="00887F6C">
              <w:rPr>
                <w:noProof/>
                <w:sz w:val="16"/>
              </w:rPr>
              <w:t>Cercetare</w:t>
            </w:r>
          </w:p>
        </w:tc>
        <w:tc>
          <w:tcPr>
            <w:tcW w:w="466" w:type="pct"/>
            <w:shd w:val="clear" w:color="auto" w:fill="auto"/>
            <w:vAlign w:val="center"/>
          </w:tcPr>
          <w:p w14:paraId="53C31A2C"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tcPr>
          <w:p w14:paraId="7ECFF3A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tcPr>
          <w:p w14:paraId="0AC26C0A"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tcPr>
          <w:p w14:paraId="5FB77B8C"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auto"/>
          </w:tcPr>
          <w:p w14:paraId="1D0B816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shd w:val="clear" w:color="auto" w:fill="auto"/>
          </w:tcPr>
          <w:p w14:paraId="5D6F1FB5"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shd w:val="clear" w:color="auto" w:fill="auto"/>
          </w:tcPr>
          <w:p w14:paraId="0B2048CF"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05700FF1" w14:textId="77777777" w:rsidTr="0068762E">
        <w:trPr>
          <w:trHeight w:val="293"/>
        </w:trPr>
        <w:tc>
          <w:tcPr>
            <w:tcW w:w="5000" w:type="pct"/>
            <w:gridSpan w:val="9"/>
          </w:tcPr>
          <w:p w14:paraId="431DC465" w14:textId="77777777" w:rsidR="005374B1" w:rsidRPr="00887F6C" w:rsidRDefault="005374B1" w:rsidP="0068762E">
            <w:pPr>
              <w:pStyle w:val="Text1"/>
              <w:spacing w:before="60" w:after="60"/>
              <w:ind w:left="0"/>
              <w:jc w:val="left"/>
              <w:rPr>
                <w:b/>
                <w:noProof/>
                <w:sz w:val="16"/>
                <w:szCs w:val="16"/>
              </w:rPr>
            </w:pPr>
            <w:r w:rsidRPr="00887F6C">
              <w:rPr>
                <w:rFonts w:ascii="Wingdings" w:hAnsi="Wingdings"/>
                <w:b/>
                <w:noProof/>
                <w:sz w:val="16"/>
              </w:rPr>
              <w:t>□</w:t>
            </w:r>
            <w:r w:rsidRPr="00887F6C">
              <w:rPr>
                <w:b/>
                <w:noProof/>
                <w:sz w:val="16"/>
              </w:rPr>
              <w:t xml:space="preserve"> Personal extern (în echivalent normă întreagă: FTE) - AC, AL, END, INT și JED</w:t>
            </w:r>
            <w:r w:rsidRPr="00887F6C">
              <w:rPr>
                <w:noProof/>
                <w:sz w:val="16"/>
              </w:rPr>
              <w:t xml:space="preserve"> </w:t>
            </w:r>
            <w:r w:rsidRPr="00887F6C">
              <w:rPr>
                <w:rStyle w:val="Referinnotdesubsol"/>
                <w:noProof/>
                <w:sz w:val="16"/>
              </w:rPr>
              <w:footnoteReference w:id="39"/>
            </w:r>
          </w:p>
          <w:p w14:paraId="68043B9E" w14:textId="77777777" w:rsidR="005374B1" w:rsidRPr="00887F6C" w:rsidRDefault="005374B1" w:rsidP="0068762E">
            <w:pPr>
              <w:pStyle w:val="Text1"/>
              <w:spacing w:before="0" w:after="0"/>
              <w:ind w:left="0"/>
              <w:jc w:val="left"/>
              <w:rPr>
                <w:noProof/>
                <w:sz w:val="16"/>
                <w:szCs w:val="16"/>
              </w:rPr>
            </w:pPr>
            <w:r w:rsidRPr="00887F6C">
              <w:rPr>
                <w:noProof/>
                <w:sz w:val="16"/>
              </w:rPr>
              <w:t>Rubrica 7</w:t>
            </w:r>
          </w:p>
        </w:tc>
      </w:tr>
      <w:tr w:rsidR="005374B1" w:rsidRPr="00887F6C" w14:paraId="31B08265" w14:textId="77777777" w:rsidTr="0068762E">
        <w:trPr>
          <w:trHeight w:val="485"/>
        </w:trPr>
        <w:tc>
          <w:tcPr>
            <w:tcW w:w="735" w:type="pct"/>
            <w:vMerge w:val="restart"/>
            <w:vAlign w:val="center"/>
          </w:tcPr>
          <w:p w14:paraId="37204779" w14:textId="77777777" w:rsidR="005374B1" w:rsidRPr="00887F6C" w:rsidRDefault="005374B1" w:rsidP="0068762E">
            <w:pPr>
              <w:pStyle w:val="Text1"/>
              <w:spacing w:beforeLines="20" w:before="48" w:afterLines="20" w:after="48"/>
              <w:ind w:left="136"/>
              <w:jc w:val="left"/>
              <w:rPr>
                <w:b/>
                <w:noProof/>
                <w:sz w:val="16"/>
                <w:szCs w:val="16"/>
              </w:rPr>
            </w:pPr>
            <w:r w:rsidRPr="00887F6C">
              <w:rPr>
                <w:noProof/>
                <w:sz w:val="16"/>
              </w:rPr>
              <w:t>Finanțare de la RUBRICA 7 din cadrul financiar multianual</w:t>
            </w:r>
            <w:r w:rsidRPr="00887F6C">
              <w:rPr>
                <w:b/>
                <w:noProof/>
                <w:sz w:val="16"/>
              </w:rPr>
              <w:t xml:space="preserve"> </w:t>
            </w:r>
          </w:p>
        </w:tc>
        <w:tc>
          <w:tcPr>
            <w:tcW w:w="737" w:type="pct"/>
            <w:vAlign w:val="center"/>
          </w:tcPr>
          <w:p w14:paraId="6C62CC43" w14:textId="77777777" w:rsidR="005374B1" w:rsidRPr="00887F6C" w:rsidRDefault="005374B1" w:rsidP="0068762E">
            <w:pPr>
              <w:pStyle w:val="Text1"/>
              <w:spacing w:beforeLines="20" w:before="48" w:afterLines="20" w:after="48"/>
              <w:ind w:left="136"/>
              <w:jc w:val="left"/>
              <w:rPr>
                <w:b/>
                <w:noProof/>
                <w:sz w:val="16"/>
                <w:szCs w:val="16"/>
              </w:rPr>
            </w:pPr>
            <w:r w:rsidRPr="00887F6C">
              <w:rPr>
                <w:noProof/>
                <w:sz w:val="16"/>
              </w:rPr>
              <w:t>- la sediul central</w:t>
            </w:r>
          </w:p>
        </w:tc>
        <w:tc>
          <w:tcPr>
            <w:tcW w:w="466" w:type="pct"/>
            <w:shd w:val="clear" w:color="auto" w:fill="auto"/>
            <w:vAlign w:val="center"/>
          </w:tcPr>
          <w:p w14:paraId="25432858"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1C6F7124"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7A543C4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0C988313"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auto"/>
            <w:vAlign w:val="center"/>
          </w:tcPr>
          <w:p w14:paraId="51E93450"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shd w:val="clear" w:color="auto" w:fill="auto"/>
            <w:vAlign w:val="center"/>
          </w:tcPr>
          <w:p w14:paraId="7A88B4AE"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shd w:val="clear" w:color="auto" w:fill="auto"/>
            <w:vAlign w:val="center"/>
          </w:tcPr>
          <w:p w14:paraId="69886C52"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636E4CC6" w14:textId="77777777" w:rsidTr="0068762E">
        <w:trPr>
          <w:trHeight w:val="289"/>
        </w:trPr>
        <w:tc>
          <w:tcPr>
            <w:tcW w:w="735" w:type="pct"/>
            <w:vMerge/>
            <w:vAlign w:val="center"/>
          </w:tcPr>
          <w:p w14:paraId="5B873927" w14:textId="77777777" w:rsidR="005374B1" w:rsidRPr="00887F6C" w:rsidRDefault="005374B1" w:rsidP="0068762E">
            <w:pPr>
              <w:pStyle w:val="Text1"/>
              <w:spacing w:beforeLines="20" w:before="48" w:afterLines="20" w:after="48"/>
              <w:ind w:left="136"/>
              <w:jc w:val="left"/>
              <w:rPr>
                <w:noProof/>
                <w:sz w:val="16"/>
                <w:szCs w:val="16"/>
              </w:rPr>
            </w:pPr>
          </w:p>
        </w:tc>
        <w:tc>
          <w:tcPr>
            <w:tcW w:w="737" w:type="pct"/>
            <w:vAlign w:val="center"/>
          </w:tcPr>
          <w:p w14:paraId="6DA86C8D" w14:textId="77777777" w:rsidR="005374B1" w:rsidRPr="00887F6C" w:rsidRDefault="005374B1" w:rsidP="0068762E">
            <w:pPr>
              <w:pStyle w:val="Text1"/>
              <w:spacing w:beforeLines="20" w:before="48" w:afterLines="20" w:after="48"/>
              <w:ind w:left="136"/>
              <w:jc w:val="left"/>
              <w:rPr>
                <w:noProof/>
                <w:sz w:val="16"/>
                <w:szCs w:val="16"/>
              </w:rPr>
            </w:pPr>
            <w:r w:rsidRPr="00887F6C">
              <w:rPr>
                <w:noProof/>
                <w:sz w:val="16"/>
              </w:rPr>
              <w:t xml:space="preserve">- în delegații </w:t>
            </w:r>
          </w:p>
        </w:tc>
        <w:tc>
          <w:tcPr>
            <w:tcW w:w="466" w:type="pct"/>
            <w:shd w:val="clear" w:color="auto" w:fill="auto"/>
            <w:vAlign w:val="center"/>
          </w:tcPr>
          <w:p w14:paraId="71593FD3"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07F2835B"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7DA5FDB7"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6403568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tcBorders>
              <w:bottom w:val="single" w:sz="6" w:space="0" w:color="auto"/>
            </w:tcBorders>
            <w:shd w:val="clear" w:color="auto" w:fill="auto"/>
            <w:vAlign w:val="center"/>
          </w:tcPr>
          <w:p w14:paraId="6F1A8AF9"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tcBorders>
              <w:bottom w:val="single" w:sz="6" w:space="0" w:color="auto"/>
            </w:tcBorders>
            <w:shd w:val="clear" w:color="auto" w:fill="auto"/>
            <w:vAlign w:val="center"/>
          </w:tcPr>
          <w:p w14:paraId="685252D0"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tcBorders>
              <w:bottom w:val="single" w:sz="6" w:space="0" w:color="auto"/>
            </w:tcBorders>
            <w:shd w:val="clear" w:color="auto" w:fill="auto"/>
            <w:vAlign w:val="center"/>
          </w:tcPr>
          <w:p w14:paraId="393FE62E"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08A91F0F" w14:textId="77777777" w:rsidTr="0068762E">
        <w:trPr>
          <w:trHeight w:val="370"/>
        </w:trPr>
        <w:tc>
          <w:tcPr>
            <w:tcW w:w="735" w:type="pct"/>
            <w:vMerge w:val="restart"/>
            <w:vAlign w:val="center"/>
          </w:tcPr>
          <w:p w14:paraId="19842E82" w14:textId="77777777" w:rsidR="005374B1" w:rsidRPr="00887F6C" w:rsidRDefault="005374B1" w:rsidP="0068762E">
            <w:pPr>
              <w:pStyle w:val="Text1"/>
              <w:spacing w:beforeLines="20" w:before="48" w:afterLines="20" w:after="48"/>
              <w:ind w:left="136"/>
              <w:jc w:val="left"/>
              <w:rPr>
                <w:b/>
                <w:noProof/>
                <w:sz w:val="16"/>
                <w:szCs w:val="16"/>
              </w:rPr>
            </w:pPr>
            <w:r w:rsidRPr="00887F6C">
              <w:rPr>
                <w:noProof/>
                <w:sz w:val="16"/>
              </w:rPr>
              <w:t>Finanțare din bugetul programului</w:t>
            </w:r>
            <w:r w:rsidRPr="00887F6C">
              <w:rPr>
                <w:b/>
                <w:noProof/>
                <w:sz w:val="16"/>
              </w:rPr>
              <w:t xml:space="preserve"> </w:t>
            </w:r>
            <w:r w:rsidRPr="00887F6C">
              <w:rPr>
                <w:rStyle w:val="Referinnotdesubsol"/>
                <w:noProof/>
                <w:sz w:val="16"/>
              </w:rPr>
              <w:footnoteReference w:id="40"/>
            </w:r>
          </w:p>
        </w:tc>
        <w:tc>
          <w:tcPr>
            <w:tcW w:w="737" w:type="pct"/>
            <w:shd w:val="clear" w:color="auto" w:fill="auto"/>
            <w:vAlign w:val="center"/>
          </w:tcPr>
          <w:p w14:paraId="7EF8FE40" w14:textId="77777777" w:rsidR="005374B1" w:rsidRPr="00887F6C" w:rsidRDefault="005374B1" w:rsidP="0068762E">
            <w:pPr>
              <w:pStyle w:val="Text1"/>
              <w:spacing w:beforeLines="20" w:before="48" w:afterLines="20" w:after="48"/>
              <w:ind w:left="136"/>
              <w:jc w:val="left"/>
              <w:rPr>
                <w:b/>
                <w:noProof/>
                <w:sz w:val="16"/>
                <w:szCs w:val="16"/>
              </w:rPr>
            </w:pPr>
            <w:r w:rsidRPr="00887F6C">
              <w:rPr>
                <w:noProof/>
                <w:sz w:val="16"/>
              </w:rPr>
              <w:t>- la sediul central</w:t>
            </w:r>
          </w:p>
        </w:tc>
        <w:tc>
          <w:tcPr>
            <w:tcW w:w="466" w:type="pct"/>
            <w:shd w:val="clear" w:color="auto" w:fill="auto"/>
            <w:vAlign w:val="center"/>
          </w:tcPr>
          <w:p w14:paraId="313ED2F7" w14:textId="77777777" w:rsidR="005374B1" w:rsidRPr="00887F6C" w:rsidRDefault="005374B1" w:rsidP="0068762E">
            <w:pPr>
              <w:pStyle w:val="Text1"/>
              <w:spacing w:beforeLines="20" w:before="48" w:afterLines="20" w:after="48"/>
              <w:ind w:left="0"/>
              <w:jc w:val="center"/>
              <w:rPr>
                <w:noProof/>
                <w:sz w:val="16"/>
                <w:szCs w:val="16"/>
              </w:rPr>
            </w:pPr>
            <w:r w:rsidRPr="00887F6C">
              <w:rPr>
                <w:noProof/>
                <w:sz w:val="16"/>
              </w:rPr>
              <w:t>-</w:t>
            </w:r>
          </w:p>
        </w:tc>
        <w:tc>
          <w:tcPr>
            <w:tcW w:w="534" w:type="pct"/>
            <w:shd w:val="clear" w:color="auto" w:fill="auto"/>
            <w:vAlign w:val="center"/>
          </w:tcPr>
          <w:p w14:paraId="52300EFE"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18BC0822"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0090BC60"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FFFFFF" w:themeFill="background1"/>
            <w:vAlign w:val="center"/>
          </w:tcPr>
          <w:p w14:paraId="4B974EF2" w14:textId="77777777" w:rsidR="005374B1" w:rsidRPr="00887F6C" w:rsidRDefault="005374B1" w:rsidP="0068762E">
            <w:pPr>
              <w:spacing w:beforeLines="20" w:before="48" w:afterLines="20" w:after="48"/>
              <w:jc w:val="center"/>
              <w:rPr>
                <w:noProof/>
                <w:sz w:val="16"/>
                <w:szCs w:val="16"/>
                <w:highlight w:val="yellow"/>
              </w:rPr>
            </w:pPr>
          </w:p>
        </w:tc>
        <w:tc>
          <w:tcPr>
            <w:tcW w:w="468" w:type="pct"/>
            <w:shd w:val="clear" w:color="auto" w:fill="FFFFFF" w:themeFill="background1"/>
            <w:vAlign w:val="center"/>
          </w:tcPr>
          <w:p w14:paraId="06BC69DE" w14:textId="77777777" w:rsidR="005374B1" w:rsidRPr="00887F6C" w:rsidRDefault="005374B1" w:rsidP="0068762E">
            <w:pPr>
              <w:spacing w:beforeLines="20" w:before="48" w:afterLines="20" w:after="48"/>
              <w:jc w:val="center"/>
              <w:rPr>
                <w:noProof/>
                <w:sz w:val="16"/>
                <w:szCs w:val="16"/>
                <w:highlight w:val="yellow"/>
              </w:rPr>
            </w:pPr>
          </w:p>
        </w:tc>
        <w:tc>
          <w:tcPr>
            <w:tcW w:w="527" w:type="pct"/>
            <w:shd w:val="clear" w:color="auto" w:fill="FFFFFF" w:themeFill="background1"/>
            <w:vAlign w:val="center"/>
          </w:tcPr>
          <w:p w14:paraId="05362153" w14:textId="77777777" w:rsidR="005374B1" w:rsidRPr="00887F6C" w:rsidRDefault="005374B1" w:rsidP="0068762E">
            <w:pPr>
              <w:spacing w:beforeLines="20" w:before="48" w:afterLines="20" w:after="48"/>
              <w:jc w:val="center"/>
              <w:rPr>
                <w:noProof/>
                <w:sz w:val="16"/>
                <w:szCs w:val="16"/>
                <w:highlight w:val="yellow"/>
              </w:rPr>
            </w:pPr>
          </w:p>
        </w:tc>
      </w:tr>
      <w:tr w:rsidR="005374B1" w:rsidRPr="00887F6C" w14:paraId="2E70F30C" w14:textId="77777777" w:rsidTr="0068762E">
        <w:trPr>
          <w:trHeight w:val="289"/>
        </w:trPr>
        <w:tc>
          <w:tcPr>
            <w:tcW w:w="735" w:type="pct"/>
            <w:vMerge/>
          </w:tcPr>
          <w:p w14:paraId="5B1934E0" w14:textId="77777777" w:rsidR="005374B1" w:rsidRPr="00887F6C" w:rsidRDefault="005374B1" w:rsidP="0068762E">
            <w:pPr>
              <w:pStyle w:val="Text1"/>
              <w:spacing w:beforeLines="20" w:before="48" w:afterLines="20" w:after="48"/>
              <w:ind w:left="136"/>
              <w:jc w:val="left"/>
              <w:rPr>
                <w:b/>
                <w:noProof/>
                <w:sz w:val="16"/>
                <w:szCs w:val="16"/>
              </w:rPr>
            </w:pPr>
          </w:p>
        </w:tc>
        <w:tc>
          <w:tcPr>
            <w:tcW w:w="737" w:type="pct"/>
            <w:shd w:val="clear" w:color="auto" w:fill="auto"/>
            <w:vAlign w:val="center"/>
          </w:tcPr>
          <w:p w14:paraId="710E5894" w14:textId="77777777" w:rsidR="005374B1" w:rsidRPr="00887F6C" w:rsidRDefault="005374B1" w:rsidP="0068762E">
            <w:pPr>
              <w:pStyle w:val="Text1"/>
              <w:spacing w:beforeLines="20" w:before="48" w:afterLines="20" w:after="48"/>
              <w:ind w:left="136"/>
              <w:jc w:val="left"/>
              <w:rPr>
                <w:b/>
                <w:noProof/>
                <w:sz w:val="16"/>
                <w:szCs w:val="16"/>
              </w:rPr>
            </w:pPr>
            <w:r w:rsidRPr="00887F6C">
              <w:rPr>
                <w:noProof/>
                <w:sz w:val="16"/>
              </w:rPr>
              <w:t xml:space="preserve">- în delegații </w:t>
            </w:r>
          </w:p>
        </w:tc>
        <w:tc>
          <w:tcPr>
            <w:tcW w:w="466" w:type="pct"/>
            <w:shd w:val="clear" w:color="auto" w:fill="auto"/>
            <w:vAlign w:val="center"/>
          </w:tcPr>
          <w:p w14:paraId="4E69127C" w14:textId="77777777" w:rsidR="005374B1" w:rsidRPr="00887F6C" w:rsidRDefault="005374B1" w:rsidP="0068762E">
            <w:pPr>
              <w:pStyle w:val="Text1"/>
              <w:spacing w:beforeLines="20" w:before="48" w:afterLines="20" w:after="48"/>
              <w:ind w:left="0"/>
              <w:jc w:val="center"/>
              <w:rPr>
                <w:noProof/>
                <w:sz w:val="16"/>
                <w:szCs w:val="16"/>
              </w:rPr>
            </w:pPr>
            <w:r w:rsidRPr="00887F6C">
              <w:rPr>
                <w:noProof/>
                <w:sz w:val="16"/>
              </w:rPr>
              <w:t>-</w:t>
            </w:r>
          </w:p>
        </w:tc>
        <w:tc>
          <w:tcPr>
            <w:tcW w:w="534" w:type="pct"/>
            <w:shd w:val="clear" w:color="auto" w:fill="auto"/>
            <w:vAlign w:val="center"/>
          </w:tcPr>
          <w:p w14:paraId="2FF70E77"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33F2C8E4"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0411AE9F"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auto"/>
            <w:vAlign w:val="center"/>
          </w:tcPr>
          <w:p w14:paraId="3564AA6E"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shd w:val="clear" w:color="auto" w:fill="auto"/>
            <w:vAlign w:val="center"/>
          </w:tcPr>
          <w:p w14:paraId="71EB1F4A"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shd w:val="clear" w:color="auto" w:fill="auto"/>
            <w:vAlign w:val="center"/>
          </w:tcPr>
          <w:p w14:paraId="641C5836"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750F4CE6" w14:textId="77777777" w:rsidTr="0068762E">
        <w:trPr>
          <w:trHeight w:val="289"/>
        </w:trPr>
        <w:tc>
          <w:tcPr>
            <w:tcW w:w="1472" w:type="pct"/>
            <w:gridSpan w:val="2"/>
          </w:tcPr>
          <w:p w14:paraId="3E28EE9F" w14:textId="77777777" w:rsidR="005374B1" w:rsidRPr="00887F6C" w:rsidRDefault="005374B1" w:rsidP="0068762E">
            <w:pPr>
              <w:pStyle w:val="Text1"/>
              <w:spacing w:beforeLines="20" w:before="48" w:afterLines="20" w:after="48"/>
              <w:ind w:left="136"/>
              <w:jc w:val="left"/>
              <w:rPr>
                <w:noProof/>
                <w:sz w:val="16"/>
                <w:szCs w:val="16"/>
              </w:rPr>
            </w:pPr>
            <w:r w:rsidRPr="00887F6C">
              <w:rPr>
                <w:noProof/>
                <w:sz w:val="16"/>
              </w:rPr>
              <w:t>Cercetare</w:t>
            </w:r>
          </w:p>
        </w:tc>
        <w:tc>
          <w:tcPr>
            <w:tcW w:w="466" w:type="pct"/>
            <w:shd w:val="clear" w:color="auto" w:fill="auto"/>
            <w:vAlign w:val="center"/>
          </w:tcPr>
          <w:p w14:paraId="43572CBE"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025C4CD8"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shd w:val="clear" w:color="auto" w:fill="auto"/>
            <w:vAlign w:val="center"/>
          </w:tcPr>
          <w:p w14:paraId="29FCA973"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shd w:val="clear" w:color="auto" w:fill="auto"/>
            <w:vAlign w:val="center"/>
          </w:tcPr>
          <w:p w14:paraId="5CFD7659"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shd w:val="clear" w:color="auto" w:fill="auto"/>
            <w:vAlign w:val="center"/>
          </w:tcPr>
          <w:p w14:paraId="02B20F73"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c>
          <w:tcPr>
            <w:tcW w:w="468" w:type="pct"/>
            <w:shd w:val="clear" w:color="auto" w:fill="auto"/>
            <w:vAlign w:val="center"/>
          </w:tcPr>
          <w:p w14:paraId="04075D76"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c>
          <w:tcPr>
            <w:tcW w:w="527" w:type="pct"/>
            <w:shd w:val="clear" w:color="auto" w:fill="auto"/>
            <w:vAlign w:val="center"/>
          </w:tcPr>
          <w:p w14:paraId="29993191"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r>
      <w:tr w:rsidR="005374B1" w:rsidRPr="00887F6C" w14:paraId="3F2EA518" w14:textId="77777777" w:rsidTr="0068762E">
        <w:trPr>
          <w:trHeight w:val="289"/>
        </w:trPr>
        <w:tc>
          <w:tcPr>
            <w:tcW w:w="1472" w:type="pct"/>
            <w:gridSpan w:val="2"/>
            <w:tcBorders>
              <w:bottom w:val="double" w:sz="4" w:space="0" w:color="auto"/>
            </w:tcBorders>
          </w:tcPr>
          <w:p w14:paraId="6705FE37" w14:textId="77777777" w:rsidR="005374B1" w:rsidRPr="00887F6C" w:rsidRDefault="005374B1" w:rsidP="0068762E">
            <w:pPr>
              <w:pStyle w:val="Text1"/>
              <w:spacing w:beforeLines="20" w:before="48" w:afterLines="20" w:after="48"/>
              <w:ind w:left="134"/>
              <w:jc w:val="left"/>
              <w:rPr>
                <w:noProof/>
                <w:sz w:val="16"/>
                <w:szCs w:val="16"/>
              </w:rPr>
            </w:pPr>
            <w:r w:rsidRPr="00887F6C">
              <w:rPr>
                <w:noProof/>
                <w:sz w:val="16"/>
              </w:rPr>
              <w:t>Altele (precizați)</w:t>
            </w:r>
          </w:p>
        </w:tc>
        <w:tc>
          <w:tcPr>
            <w:tcW w:w="466" w:type="pct"/>
            <w:tcBorders>
              <w:bottom w:val="double" w:sz="4" w:space="0" w:color="auto"/>
            </w:tcBorders>
            <w:shd w:val="clear" w:color="auto" w:fill="auto"/>
            <w:vAlign w:val="center"/>
          </w:tcPr>
          <w:p w14:paraId="6BF6605D"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tcBorders>
              <w:bottom w:val="double" w:sz="4" w:space="0" w:color="auto"/>
            </w:tcBorders>
            <w:shd w:val="clear" w:color="auto" w:fill="auto"/>
            <w:vAlign w:val="center"/>
          </w:tcPr>
          <w:p w14:paraId="65DBCE90"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6" w:type="pct"/>
            <w:tcBorders>
              <w:bottom w:val="double" w:sz="4" w:space="0" w:color="auto"/>
            </w:tcBorders>
            <w:shd w:val="clear" w:color="auto" w:fill="auto"/>
            <w:vAlign w:val="center"/>
          </w:tcPr>
          <w:p w14:paraId="3C90510A"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4" w:type="pct"/>
            <w:tcBorders>
              <w:bottom w:val="double" w:sz="4" w:space="0" w:color="auto"/>
            </w:tcBorders>
            <w:shd w:val="clear" w:color="auto" w:fill="auto"/>
            <w:vAlign w:val="center"/>
          </w:tcPr>
          <w:p w14:paraId="0781C799"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33" w:type="pct"/>
            <w:tcBorders>
              <w:bottom w:val="double" w:sz="4" w:space="0" w:color="auto"/>
            </w:tcBorders>
            <w:shd w:val="clear" w:color="auto" w:fill="auto"/>
            <w:vAlign w:val="center"/>
          </w:tcPr>
          <w:p w14:paraId="18D2FFB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468" w:type="pct"/>
            <w:tcBorders>
              <w:bottom w:val="double" w:sz="4" w:space="0" w:color="auto"/>
            </w:tcBorders>
            <w:shd w:val="clear" w:color="auto" w:fill="auto"/>
            <w:vAlign w:val="center"/>
          </w:tcPr>
          <w:p w14:paraId="71A7EB3C"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c>
          <w:tcPr>
            <w:tcW w:w="527" w:type="pct"/>
            <w:tcBorders>
              <w:bottom w:val="double" w:sz="4" w:space="0" w:color="auto"/>
            </w:tcBorders>
            <w:shd w:val="clear" w:color="auto" w:fill="auto"/>
            <w:vAlign w:val="center"/>
          </w:tcPr>
          <w:p w14:paraId="51F85701" w14:textId="77777777" w:rsidR="005374B1" w:rsidRPr="00887F6C" w:rsidRDefault="005374B1" w:rsidP="0068762E">
            <w:pPr>
              <w:spacing w:beforeLines="20" w:before="48" w:afterLines="20" w:after="48"/>
              <w:jc w:val="center"/>
              <w:rPr>
                <w:noProof/>
                <w:sz w:val="16"/>
                <w:szCs w:val="16"/>
              </w:rPr>
            </w:pPr>
            <w:r w:rsidRPr="00887F6C">
              <w:rPr>
                <w:noProof/>
                <w:sz w:val="16"/>
              </w:rPr>
              <w:t>-</w:t>
            </w:r>
          </w:p>
        </w:tc>
      </w:tr>
      <w:tr w:rsidR="005374B1" w:rsidRPr="00887F6C" w14:paraId="52AD2BF9" w14:textId="77777777" w:rsidTr="0068762E">
        <w:trPr>
          <w:trHeight w:val="289"/>
        </w:trPr>
        <w:tc>
          <w:tcPr>
            <w:tcW w:w="1472" w:type="pct"/>
            <w:gridSpan w:val="2"/>
            <w:tcBorders>
              <w:top w:val="double" w:sz="4" w:space="0" w:color="auto"/>
            </w:tcBorders>
          </w:tcPr>
          <w:p w14:paraId="7B805A7D" w14:textId="77777777" w:rsidR="005374B1" w:rsidRPr="00887F6C" w:rsidRDefault="005374B1" w:rsidP="0068762E">
            <w:pPr>
              <w:pStyle w:val="Text1"/>
              <w:spacing w:beforeLines="20" w:before="48" w:afterLines="20" w:after="48"/>
              <w:ind w:left="136"/>
              <w:jc w:val="left"/>
              <w:rPr>
                <w:noProof/>
                <w:sz w:val="16"/>
                <w:szCs w:val="16"/>
              </w:rPr>
            </w:pPr>
            <w:r w:rsidRPr="00887F6C">
              <w:rPr>
                <w:b/>
                <w:noProof/>
                <w:sz w:val="16"/>
              </w:rPr>
              <w:t>TOTAL</w:t>
            </w:r>
          </w:p>
        </w:tc>
        <w:tc>
          <w:tcPr>
            <w:tcW w:w="466" w:type="pct"/>
            <w:tcBorders>
              <w:top w:val="double" w:sz="4" w:space="0" w:color="auto"/>
            </w:tcBorders>
            <w:shd w:val="clear" w:color="auto" w:fill="auto"/>
            <w:vAlign w:val="center"/>
          </w:tcPr>
          <w:p w14:paraId="061C6646" w14:textId="77777777" w:rsidR="005374B1" w:rsidRPr="00887F6C" w:rsidRDefault="005374B1" w:rsidP="0068762E">
            <w:pPr>
              <w:spacing w:beforeLines="20" w:before="48" w:afterLines="20" w:after="48"/>
              <w:jc w:val="center"/>
              <w:rPr>
                <w:b/>
                <w:noProof/>
                <w:sz w:val="16"/>
                <w:szCs w:val="16"/>
              </w:rPr>
            </w:pPr>
            <w:r w:rsidRPr="00887F6C">
              <w:rPr>
                <w:noProof/>
                <w:sz w:val="16"/>
              </w:rPr>
              <w:t>-</w:t>
            </w:r>
          </w:p>
        </w:tc>
        <w:tc>
          <w:tcPr>
            <w:tcW w:w="534" w:type="pct"/>
            <w:tcBorders>
              <w:top w:val="double" w:sz="4" w:space="0" w:color="auto"/>
            </w:tcBorders>
            <w:shd w:val="clear" w:color="auto" w:fill="auto"/>
          </w:tcPr>
          <w:p w14:paraId="0A8C3E76" w14:textId="77777777" w:rsidR="005374B1" w:rsidRPr="00887F6C" w:rsidRDefault="005374B1" w:rsidP="0068762E">
            <w:pPr>
              <w:spacing w:beforeLines="20" w:before="48" w:afterLines="20" w:after="48"/>
              <w:jc w:val="center"/>
              <w:rPr>
                <w:b/>
                <w:noProof/>
                <w:sz w:val="16"/>
                <w:szCs w:val="16"/>
              </w:rPr>
            </w:pPr>
            <w:r w:rsidRPr="00887F6C">
              <w:rPr>
                <w:noProof/>
                <w:sz w:val="16"/>
              </w:rPr>
              <w:t>-</w:t>
            </w:r>
          </w:p>
        </w:tc>
        <w:tc>
          <w:tcPr>
            <w:tcW w:w="466" w:type="pct"/>
            <w:tcBorders>
              <w:top w:val="double" w:sz="4" w:space="0" w:color="auto"/>
            </w:tcBorders>
            <w:shd w:val="clear" w:color="auto" w:fill="auto"/>
          </w:tcPr>
          <w:p w14:paraId="4144DCBB" w14:textId="77777777" w:rsidR="005374B1" w:rsidRPr="00887F6C" w:rsidRDefault="005374B1" w:rsidP="0068762E">
            <w:pPr>
              <w:spacing w:beforeLines="20" w:before="48" w:afterLines="20" w:after="48"/>
              <w:jc w:val="center"/>
              <w:rPr>
                <w:b/>
                <w:noProof/>
                <w:sz w:val="16"/>
                <w:szCs w:val="16"/>
              </w:rPr>
            </w:pPr>
            <w:r w:rsidRPr="00887F6C">
              <w:rPr>
                <w:noProof/>
                <w:sz w:val="16"/>
              </w:rPr>
              <w:t>-</w:t>
            </w:r>
          </w:p>
        </w:tc>
        <w:tc>
          <w:tcPr>
            <w:tcW w:w="534" w:type="pct"/>
            <w:tcBorders>
              <w:top w:val="double" w:sz="4" w:space="0" w:color="auto"/>
              <w:right w:val="single" w:sz="4" w:space="0" w:color="auto"/>
            </w:tcBorders>
            <w:shd w:val="clear" w:color="auto" w:fill="auto"/>
          </w:tcPr>
          <w:p w14:paraId="09D4BDB1" w14:textId="77777777" w:rsidR="005374B1" w:rsidRPr="00887F6C" w:rsidRDefault="005374B1" w:rsidP="0068762E">
            <w:pPr>
              <w:spacing w:beforeLines="20" w:before="48" w:afterLines="20" w:after="48"/>
              <w:jc w:val="center"/>
              <w:rPr>
                <w:b/>
                <w:noProof/>
                <w:sz w:val="16"/>
                <w:szCs w:val="16"/>
              </w:rPr>
            </w:pPr>
            <w:r w:rsidRPr="00887F6C">
              <w:rPr>
                <w:noProof/>
                <w:sz w:val="16"/>
              </w:rPr>
              <w:t>-</w:t>
            </w:r>
          </w:p>
        </w:tc>
        <w:tc>
          <w:tcPr>
            <w:tcW w:w="533" w:type="pct"/>
            <w:tcBorders>
              <w:top w:val="double" w:sz="4" w:space="0" w:color="auto"/>
              <w:left w:val="single" w:sz="4" w:space="0" w:color="auto"/>
              <w:bottom w:val="single" w:sz="4" w:space="0" w:color="auto"/>
              <w:right w:val="single" w:sz="4" w:space="0" w:color="auto"/>
            </w:tcBorders>
            <w:shd w:val="clear" w:color="auto" w:fill="FFFFFF" w:themeFill="background1"/>
          </w:tcPr>
          <w:p w14:paraId="417DD4EA"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c>
          <w:tcPr>
            <w:tcW w:w="468" w:type="pct"/>
            <w:tcBorders>
              <w:top w:val="double" w:sz="4" w:space="0" w:color="auto"/>
              <w:left w:val="single" w:sz="4" w:space="0" w:color="auto"/>
              <w:bottom w:val="single" w:sz="4" w:space="0" w:color="auto"/>
              <w:right w:val="single" w:sz="4" w:space="0" w:color="auto"/>
            </w:tcBorders>
            <w:shd w:val="clear" w:color="auto" w:fill="FFFFFF" w:themeFill="background1"/>
          </w:tcPr>
          <w:p w14:paraId="135DF5E5"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c>
          <w:tcPr>
            <w:tcW w:w="527" w:type="pct"/>
            <w:tcBorders>
              <w:top w:val="double" w:sz="4" w:space="0" w:color="auto"/>
              <w:left w:val="single" w:sz="4" w:space="0" w:color="auto"/>
              <w:bottom w:val="single" w:sz="4" w:space="0" w:color="auto"/>
              <w:right w:val="single" w:sz="4" w:space="0" w:color="auto"/>
            </w:tcBorders>
            <w:shd w:val="clear" w:color="auto" w:fill="FFFFFF" w:themeFill="background1"/>
          </w:tcPr>
          <w:p w14:paraId="16AF005A" w14:textId="77777777" w:rsidR="005374B1" w:rsidRPr="00887F6C" w:rsidRDefault="005374B1" w:rsidP="0068762E">
            <w:pPr>
              <w:spacing w:beforeLines="20" w:before="48" w:afterLines="20" w:after="48"/>
              <w:jc w:val="center"/>
              <w:rPr>
                <w:noProof/>
                <w:sz w:val="16"/>
                <w:szCs w:val="16"/>
              </w:rPr>
            </w:pPr>
            <w:r w:rsidRPr="00887F6C">
              <w:rPr>
                <w:noProof/>
                <w:sz w:val="16"/>
              </w:rPr>
              <w:t>1</w:t>
            </w:r>
          </w:p>
        </w:tc>
      </w:tr>
    </w:tbl>
    <w:p w14:paraId="587CE0E6" w14:textId="77777777" w:rsidR="005374B1" w:rsidRPr="00887F6C" w:rsidRDefault="005374B1" w:rsidP="005374B1">
      <w:pPr>
        <w:pStyle w:val="Text1"/>
        <w:rPr>
          <w:noProof/>
          <w:sz w:val="18"/>
          <w:szCs w:val="18"/>
        </w:rPr>
      </w:pPr>
      <w:r w:rsidRPr="00887F6C">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14:paraId="49CCB18B" w14:textId="77777777" w:rsidR="00845097" w:rsidRPr="00887F6C" w:rsidRDefault="00845097" w:rsidP="005374B1">
      <w:pPr>
        <w:rPr>
          <w:noProof/>
          <w:sz w:val="20"/>
        </w:rPr>
      </w:pPr>
    </w:p>
    <w:p w14:paraId="4CC4011B" w14:textId="77777777" w:rsidR="005374B1" w:rsidRPr="00887F6C" w:rsidRDefault="005374B1" w:rsidP="005374B1">
      <w:pPr>
        <w:rPr>
          <w:noProof/>
          <w:sz w:val="20"/>
        </w:rPr>
      </w:pPr>
      <w:r w:rsidRPr="00887F6C">
        <w:rPr>
          <w:noProof/>
          <w:sz w:val="20"/>
        </w:rPr>
        <w:t>Descrierea sarcinilor care trebuie efectuate:</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5374B1" w:rsidRPr="00887F6C" w14:paraId="203273E5" w14:textId="77777777" w:rsidTr="0068762E">
        <w:tc>
          <w:tcPr>
            <w:tcW w:w="3240" w:type="dxa"/>
          </w:tcPr>
          <w:p w14:paraId="166B39F5" w14:textId="77777777" w:rsidR="005374B1" w:rsidRPr="00887F6C" w:rsidRDefault="005374B1" w:rsidP="0068762E">
            <w:pPr>
              <w:rPr>
                <w:noProof/>
                <w:sz w:val="20"/>
              </w:rPr>
            </w:pPr>
            <w:r w:rsidRPr="00887F6C">
              <w:rPr>
                <w:noProof/>
                <w:sz w:val="20"/>
              </w:rPr>
              <w:t>Funcționari și personal temporar</w:t>
            </w:r>
          </w:p>
        </w:tc>
        <w:tc>
          <w:tcPr>
            <w:tcW w:w="7392" w:type="dxa"/>
          </w:tcPr>
          <w:p w14:paraId="2A9B3AFB" w14:textId="77777777" w:rsidR="005374B1" w:rsidRPr="00887F6C" w:rsidRDefault="005374B1" w:rsidP="0068762E">
            <w:pPr>
              <w:rPr>
                <w:noProof/>
                <w:sz w:val="20"/>
                <w:highlight w:val="yellow"/>
              </w:rPr>
            </w:pPr>
            <w:r w:rsidRPr="00887F6C">
              <w:rPr>
                <w:noProof/>
                <w:sz w:val="20"/>
              </w:rPr>
              <w:t>nu se aplică</w:t>
            </w:r>
          </w:p>
        </w:tc>
      </w:tr>
      <w:tr w:rsidR="005374B1" w:rsidRPr="00887F6C" w14:paraId="08183F8A" w14:textId="77777777" w:rsidTr="0068762E">
        <w:tc>
          <w:tcPr>
            <w:tcW w:w="3240" w:type="dxa"/>
          </w:tcPr>
          <w:p w14:paraId="4A94E152" w14:textId="77777777" w:rsidR="005374B1" w:rsidRPr="00887F6C" w:rsidRDefault="005374B1" w:rsidP="0068762E">
            <w:pPr>
              <w:spacing w:before="60" w:after="60"/>
              <w:rPr>
                <w:noProof/>
                <w:sz w:val="20"/>
              </w:rPr>
            </w:pPr>
            <w:r w:rsidRPr="00887F6C">
              <w:rPr>
                <w:noProof/>
                <w:sz w:val="20"/>
              </w:rPr>
              <w:t>Personal extern</w:t>
            </w:r>
          </w:p>
        </w:tc>
        <w:tc>
          <w:tcPr>
            <w:tcW w:w="7392" w:type="dxa"/>
          </w:tcPr>
          <w:p w14:paraId="4C94EB6B" w14:textId="77777777" w:rsidR="005374B1" w:rsidRPr="00887F6C" w:rsidRDefault="005374B1" w:rsidP="0068762E">
            <w:pPr>
              <w:rPr>
                <w:rFonts w:ascii="Arial Narrow" w:eastAsia="Calibri" w:hAnsi="Arial Narrow"/>
                <w:noProof/>
                <w:sz w:val="20"/>
                <w:szCs w:val="20"/>
                <w:u w:val="single"/>
              </w:rPr>
            </w:pPr>
            <w:r w:rsidRPr="00887F6C">
              <w:rPr>
                <w:noProof/>
                <w:sz w:val="20"/>
              </w:rPr>
              <w:t>Responsabil de politici pentru supravegherea programelor și orientarea politicilor, precum și pentru sarcinile administrative și responsabilitățile Comisiei în materie de evaluare/guvernanță. Reprezentarea Comisiei Europene în toate organismele decizionale ale parteneriatului (Consiliul director al PRIMA-IS) și asigurarea conformității cu actul de bază și cu politicile UE.</w:t>
            </w:r>
          </w:p>
        </w:tc>
      </w:tr>
    </w:tbl>
    <w:p w14:paraId="254A588B" w14:textId="77777777" w:rsidR="00264CE9" w:rsidRPr="00887F6C" w:rsidRDefault="00264CE9" w:rsidP="73C0F938">
      <w:pPr>
        <w:rPr>
          <w:noProof/>
        </w:rPr>
      </w:pPr>
    </w:p>
    <w:p w14:paraId="303383F2" w14:textId="77777777" w:rsidR="00264CE9" w:rsidRPr="00887F6C" w:rsidRDefault="00264CE9" w:rsidP="73C0F938">
      <w:pPr>
        <w:rPr>
          <w:noProof/>
        </w:rPr>
      </w:pPr>
    </w:p>
    <w:p w14:paraId="43599E46" w14:textId="77777777" w:rsidR="73C0F938" w:rsidRPr="00887F6C" w:rsidRDefault="73C0F938">
      <w:pPr>
        <w:rPr>
          <w:noProof/>
        </w:rPr>
      </w:pPr>
    </w:p>
    <w:p w14:paraId="6019C895" w14:textId="77777777" w:rsidR="00264CE9" w:rsidRPr="00887F6C" w:rsidRDefault="00264CE9" w:rsidP="00E27A46">
      <w:pPr>
        <w:rPr>
          <w:noProof/>
          <w:sz w:val="18"/>
          <w:szCs w:val="18"/>
        </w:rPr>
      </w:pPr>
    </w:p>
    <w:p w14:paraId="5830DE35" w14:textId="77777777" w:rsidR="73C0F938" w:rsidRPr="00887F6C" w:rsidRDefault="73C0F938">
      <w:pPr>
        <w:rPr>
          <w:noProof/>
        </w:rPr>
      </w:pPr>
    </w:p>
    <w:p w14:paraId="65C98E8A" w14:textId="77777777" w:rsidR="00264CE9" w:rsidRPr="00887F6C" w:rsidRDefault="00264CE9" w:rsidP="000727A1">
      <w:pPr>
        <w:rPr>
          <w:noProof/>
        </w:rPr>
        <w:sectPr w:rsidR="00264CE9" w:rsidRPr="00887F6C" w:rsidSect="00826666">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p>
    <w:p w14:paraId="006E2492" w14:textId="2F8A28CD" w:rsidR="00264CE9" w:rsidRPr="00887F6C" w:rsidRDefault="004432B5" w:rsidP="004432B5">
      <w:pPr>
        <w:pStyle w:val="ManualHeading3"/>
        <w:rPr>
          <w:bCs/>
          <w:noProof/>
          <w:szCs w:val="24"/>
        </w:rPr>
      </w:pPr>
      <w:bookmarkStart w:id="46" w:name="_Toc514941994"/>
      <w:bookmarkStart w:id="47" w:name="_Toc520485221"/>
      <w:r w:rsidRPr="004432B5">
        <w:lastRenderedPageBreak/>
        <w:t>3.2.3.</w:t>
      </w:r>
      <w:r w:rsidRPr="004432B5">
        <w:tab/>
      </w:r>
      <w:r w:rsidR="00264CE9" w:rsidRPr="00887F6C">
        <w:rPr>
          <w:noProof/>
        </w:rPr>
        <w:t>Contribuțiile terților</w:t>
      </w:r>
      <w:bookmarkEnd w:id="46"/>
      <w:bookmarkEnd w:id="47"/>
      <w:r w:rsidR="00264CE9" w:rsidRPr="00887F6C">
        <w:rPr>
          <w:noProof/>
        </w:rPr>
        <w:t xml:space="preserve"> </w:t>
      </w:r>
    </w:p>
    <w:p w14:paraId="1C7D9FC0" w14:textId="77777777" w:rsidR="00264CE9" w:rsidRPr="00887F6C" w:rsidRDefault="00264CE9" w:rsidP="000727A1">
      <w:pPr>
        <w:pStyle w:val="Text1"/>
        <w:rPr>
          <w:noProof/>
        </w:rPr>
      </w:pPr>
      <w:r w:rsidRPr="00887F6C">
        <w:rPr>
          <w:noProof/>
        </w:rPr>
        <w:t>Propunerea/inițiativa:</w:t>
      </w:r>
    </w:p>
    <w:p w14:paraId="1A6650C3" w14:textId="77777777" w:rsidR="00264CE9" w:rsidRPr="00887F6C" w:rsidRDefault="00264CE9" w:rsidP="000727A1">
      <w:pPr>
        <w:pStyle w:val="ListDash1"/>
        <w:rPr>
          <w:noProof/>
        </w:rPr>
      </w:pPr>
      <w:r w:rsidRPr="00887F6C">
        <w:rPr>
          <w:rFonts w:ascii="Wingdings" w:hAnsi="Wingdings"/>
          <w:noProof/>
        </w:rPr>
        <w:t></w:t>
      </w:r>
      <w:r w:rsidRPr="00887F6C">
        <w:rPr>
          <w:noProof/>
        </w:rPr>
        <w:tab/>
        <w:t>nu prevede cofinanțare din partea terților</w:t>
      </w:r>
    </w:p>
    <w:p w14:paraId="6234F6CE" w14:textId="77777777" w:rsidR="00264CE9" w:rsidRPr="00887F6C" w:rsidRDefault="00264CE9" w:rsidP="000727A1">
      <w:pPr>
        <w:pStyle w:val="ListDash1"/>
        <w:rPr>
          <w:noProof/>
        </w:rPr>
      </w:pPr>
      <w:r w:rsidRPr="00887F6C">
        <w:rPr>
          <w:rFonts w:ascii="Wingdings" w:hAnsi="Wingdings"/>
          <w:noProof/>
        </w:rPr>
        <w:t></w:t>
      </w:r>
      <w:r w:rsidRPr="00887F6C">
        <w:rPr>
          <w:noProof/>
        </w:rPr>
        <w:tab/>
        <w:t>prevede cofinanțare din partea terților, estimată mai jos:</w:t>
      </w:r>
    </w:p>
    <w:p w14:paraId="24ED3A9B" w14:textId="77777777" w:rsidR="00264CE9" w:rsidRPr="00887F6C" w:rsidRDefault="00264CE9" w:rsidP="000727A1">
      <w:pPr>
        <w:jc w:val="right"/>
        <w:rPr>
          <w:noProof/>
          <w:sz w:val="20"/>
        </w:rPr>
      </w:pPr>
      <w:r w:rsidRPr="00887F6C">
        <w:rPr>
          <w:noProof/>
          <w:sz w:val="20"/>
        </w:rPr>
        <w:t>Credite în milioane EUR (cu trei zecimale)</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264CE9" w:rsidRPr="00887F6C" w14:paraId="6EBAEB79" w14:textId="77777777" w:rsidTr="000727A1">
        <w:trPr>
          <w:cantSplit/>
          <w:jc w:val="center"/>
        </w:trPr>
        <w:tc>
          <w:tcPr>
            <w:tcW w:w="2340" w:type="dxa"/>
            <w:vAlign w:val="center"/>
          </w:tcPr>
          <w:p w14:paraId="3BEE0E8C" w14:textId="77777777" w:rsidR="00264CE9" w:rsidRPr="00887F6C" w:rsidRDefault="00264CE9" w:rsidP="000727A1">
            <w:pPr>
              <w:spacing w:before="60" w:after="60"/>
              <w:jc w:val="center"/>
              <w:rPr>
                <w:b/>
                <w:noProof/>
                <w:sz w:val="20"/>
              </w:rPr>
            </w:pPr>
            <w:r w:rsidRPr="00887F6C">
              <w:rPr>
                <w:b/>
                <w:noProof/>
                <w:sz w:val="20"/>
              </w:rPr>
              <w:t>Ani</w:t>
            </w:r>
          </w:p>
        </w:tc>
        <w:tc>
          <w:tcPr>
            <w:tcW w:w="964" w:type="dxa"/>
            <w:vAlign w:val="center"/>
          </w:tcPr>
          <w:p w14:paraId="36B0DA37" w14:textId="77777777" w:rsidR="00264CE9" w:rsidRPr="00887F6C" w:rsidRDefault="00264CE9" w:rsidP="000727A1">
            <w:pPr>
              <w:jc w:val="center"/>
              <w:rPr>
                <w:noProof/>
                <w:sz w:val="20"/>
              </w:rPr>
            </w:pPr>
            <w:r w:rsidRPr="00887F6C">
              <w:rPr>
                <w:b/>
                <w:noProof/>
                <w:sz w:val="20"/>
              </w:rPr>
              <w:t>2021</w:t>
            </w:r>
          </w:p>
        </w:tc>
        <w:tc>
          <w:tcPr>
            <w:tcW w:w="964" w:type="dxa"/>
            <w:vAlign w:val="center"/>
          </w:tcPr>
          <w:p w14:paraId="39B04327" w14:textId="77777777" w:rsidR="00264CE9" w:rsidRPr="00887F6C" w:rsidRDefault="00264CE9" w:rsidP="000727A1">
            <w:pPr>
              <w:jc w:val="center"/>
              <w:rPr>
                <w:b/>
                <w:noProof/>
                <w:sz w:val="20"/>
              </w:rPr>
            </w:pPr>
            <w:r w:rsidRPr="00887F6C">
              <w:rPr>
                <w:b/>
                <w:noProof/>
                <w:sz w:val="20"/>
              </w:rPr>
              <w:t>2022</w:t>
            </w:r>
          </w:p>
        </w:tc>
        <w:tc>
          <w:tcPr>
            <w:tcW w:w="964" w:type="dxa"/>
            <w:vAlign w:val="center"/>
          </w:tcPr>
          <w:p w14:paraId="3A0CFA79" w14:textId="77777777" w:rsidR="00264CE9" w:rsidRPr="00887F6C" w:rsidRDefault="00264CE9" w:rsidP="000727A1">
            <w:pPr>
              <w:jc w:val="center"/>
              <w:rPr>
                <w:b/>
                <w:noProof/>
                <w:sz w:val="20"/>
              </w:rPr>
            </w:pPr>
            <w:r w:rsidRPr="00887F6C">
              <w:rPr>
                <w:b/>
                <w:noProof/>
                <w:sz w:val="20"/>
              </w:rPr>
              <w:t>2023</w:t>
            </w:r>
          </w:p>
        </w:tc>
        <w:tc>
          <w:tcPr>
            <w:tcW w:w="964" w:type="dxa"/>
            <w:vAlign w:val="center"/>
          </w:tcPr>
          <w:p w14:paraId="1EF1BC7D" w14:textId="77777777" w:rsidR="00264CE9" w:rsidRPr="00887F6C" w:rsidRDefault="00264CE9" w:rsidP="000727A1">
            <w:pPr>
              <w:jc w:val="center"/>
              <w:rPr>
                <w:b/>
                <w:noProof/>
                <w:sz w:val="20"/>
              </w:rPr>
            </w:pPr>
            <w:r w:rsidRPr="00887F6C">
              <w:rPr>
                <w:b/>
                <w:noProof/>
                <w:sz w:val="20"/>
              </w:rPr>
              <w:t>2024</w:t>
            </w:r>
          </w:p>
        </w:tc>
        <w:tc>
          <w:tcPr>
            <w:tcW w:w="964" w:type="dxa"/>
            <w:vAlign w:val="center"/>
          </w:tcPr>
          <w:p w14:paraId="3AD8DAA8" w14:textId="77777777" w:rsidR="00264CE9" w:rsidRPr="00887F6C" w:rsidRDefault="00264CE9" w:rsidP="000727A1">
            <w:pPr>
              <w:jc w:val="center"/>
              <w:rPr>
                <w:b/>
                <w:noProof/>
                <w:sz w:val="20"/>
              </w:rPr>
            </w:pPr>
            <w:r w:rsidRPr="00887F6C">
              <w:rPr>
                <w:b/>
                <w:noProof/>
                <w:sz w:val="20"/>
              </w:rPr>
              <w:t>2025</w:t>
            </w:r>
          </w:p>
        </w:tc>
        <w:tc>
          <w:tcPr>
            <w:tcW w:w="964" w:type="dxa"/>
            <w:vAlign w:val="center"/>
          </w:tcPr>
          <w:p w14:paraId="2C49314E" w14:textId="77777777" w:rsidR="00264CE9" w:rsidRPr="00887F6C" w:rsidRDefault="00264CE9" w:rsidP="000727A1">
            <w:pPr>
              <w:jc w:val="center"/>
              <w:rPr>
                <w:b/>
                <w:noProof/>
                <w:sz w:val="20"/>
              </w:rPr>
            </w:pPr>
            <w:r w:rsidRPr="00887F6C">
              <w:rPr>
                <w:b/>
                <w:noProof/>
                <w:sz w:val="20"/>
              </w:rPr>
              <w:t>2026</w:t>
            </w:r>
          </w:p>
        </w:tc>
        <w:tc>
          <w:tcPr>
            <w:tcW w:w="964" w:type="dxa"/>
            <w:vAlign w:val="center"/>
          </w:tcPr>
          <w:p w14:paraId="0EF541C0" w14:textId="77777777" w:rsidR="00264CE9" w:rsidRPr="00887F6C" w:rsidRDefault="00264CE9" w:rsidP="000727A1">
            <w:pPr>
              <w:jc w:val="center"/>
              <w:rPr>
                <w:b/>
                <w:noProof/>
                <w:sz w:val="20"/>
              </w:rPr>
            </w:pPr>
            <w:r w:rsidRPr="00887F6C">
              <w:rPr>
                <w:b/>
                <w:noProof/>
                <w:sz w:val="20"/>
              </w:rPr>
              <w:t>2027</w:t>
            </w:r>
          </w:p>
        </w:tc>
        <w:tc>
          <w:tcPr>
            <w:tcW w:w="1158" w:type="dxa"/>
            <w:vAlign w:val="center"/>
          </w:tcPr>
          <w:p w14:paraId="71E81001" w14:textId="77777777" w:rsidR="00264CE9" w:rsidRPr="00887F6C" w:rsidRDefault="00264CE9" w:rsidP="000727A1">
            <w:pPr>
              <w:spacing w:before="60" w:after="60"/>
              <w:jc w:val="center"/>
              <w:rPr>
                <w:b/>
                <w:noProof/>
                <w:sz w:val="20"/>
              </w:rPr>
            </w:pPr>
            <w:r w:rsidRPr="00887F6C">
              <w:rPr>
                <w:b/>
                <w:noProof/>
                <w:sz w:val="20"/>
              </w:rPr>
              <w:t>TOTAL</w:t>
            </w:r>
          </w:p>
        </w:tc>
      </w:tr>
      <w:tr w:rsidR="00264CE9" w:rsidRPr="00887F6C" w14:paraId="5EFF5823" w14:textId="77777777" w:rsidTr="000727A1">
        <w:trPr>
          <w:cantSplit/>
          <w:jc w:val="center"/>
        </w:trPr>
        <w:tc>
          <w:tcPr>
            <w:tcW w:w="2340" w:type="dxa"/>
          </w:tcPr>
          <w:p w14:paraId="13E87D91" w14:textId="77777777" w:rsidR="00264CE9" w:rsidRPr="00887F6C" w:rsidRDefault="00264CE9" w:rsidP="000727A1">
            <w:pPr>
              <w:rPr>
                <w:noProof/>
              </w:rPr>
            </w:pPr>
            <w:r w:rsidRPr="00887F6C">
              <w:rPr>
                <w:noProof/>
                <w:sz w:val="20"/>
              </w:rPr>
              <w:t>Statele participante</w:t>
            </w:r>
            <w:r w:rsidRPr="00887F6C">
              <w:rPr>
                <w:i/>
                <w:noProof/>
                <w:sz w:val="20"/>
              </w:rPr>
              <w:t xml:space="preserve"> </w:t>
            </w:r>
          </w:p>
        </w:tc>
        <w:tc>
          <w:tcPr>
            <w:tcW w:w="964" w:type="dxa"/>
            <w:vAlign w:val="center"/>
          </w:tcPr>
          <w:p w14:paraId="5925D9D9" w14:textId="77777777" w:rsidR="00264CE9" w:rsidRPr="00887F6C" w:rsidRDefault="00264CE9" w:rsidP="000727A1">
            <w:pPr>
              <w:spacing w:before="60" w:after="60"/>
              <w:jc w:val="center"/>
              <w:rPr>
                <w:noProof/>
                <w:sz w:val="20"/>
              </w:rPr>
            </w:pPr>
          </w:p>
        </w:tc>
        <w:tc>
          <w:tcPr>
            <w:tcW w:w="964" w:type="dxa"/>
            <w:vAlign w:val="center"/>
          </w:tcPr>
          <w:p w14:paraId="1C234030" w14:textId="77777777" w:rsidR="00264CE9" w:rsidRPr="00887F6C" w:rsidRDefault="00264CE9" w:rsidP="000727A1">
            <w:pPr>
              <w:spacing w:before="60" w:after="60"/>
              <w:jc w:val="center"/>
              <w:rPr>
                <w:noProof/>
                <w:sz w:val="20"/>
              </w:rPr>
            </w:pPr>
          </w:p>
        </w:tc>
        <w:tc>
          <w:tcPr>
            <w:tcW w:w="964" w:type="dxa"/>
            <w:vAlign w:val="center"/>
          </w:tcPr>
          <w:p w14:paraId="0F622990" w14:textId="77777777" w:rsidR="00264CE9" w:rsidRPr="00887F6C" w:rsidRDefault="00264CE9" w:rsidP="000727A1">
            <w:pPr>
              <w:spacing w:before="60" w:after="60"/>
              <w:jc w:val="center"/>
              <w:rPr>
                <w:noProof/>
                <w:sz w:val="20"/>
              </w:rPr>
            </w:pPr>
          </w:p>
        </w:tc>
        <w:tc>
          <w:tcPr>
            <w:tcW w:w="964" w:type="dxa"/>
            <w:vAlign w:val="center"/>
          </w:tcPr>
          <w:p w14:paraId="43E12EA9" w14:textId="77777777" w:rsidR="00264CE9" w:rsidRPr="00887F6C" w:rsidRDefault="00264CE9" w:rsidP="000727A1">
            <w:pPr>
              <w:spacing w:before="60" w:after="60"/>
              <w:jc w:val="center"/>
              <w:rPr>
                <w:noProof/>
                <w:sz w:val="20"/>
              </w:rPr>
            </w:pPr>
          </w:p>
        </w:tc>
        <w:tc>
          <w:tcPr>
            <w:tcW w:w="964" w:type="dxa"/>
            <w:vAlign w:val="center"/>
          </w:tcPr>
          <w:p w14:paraId="30C7EFD3" w14:textId="77777777" w:rsidR="00264CE9" w:rsidRPr="00887F6C" w:rsidRDefault="00264CE9" w:rsidP="000727A1">
            <w:pPr>
              <w:spacing w:before="60" w:after="60"/>
              <w:jc w:val="center"/>
              <w:rPr>
                <w:noProof/>
                <w:sz w:val="20"/>
              </w:rPr>
            </w:pPr>
            <w:r w:rsidRPr="00887F6C">
              <w:rPr>
                <w:noProof/>
                <w:sz w:val="20"/>
              </w:rPr>
              <w:t>35,000</w:t>
            </w:r>
          </w:p>
        </w:tc>
        <w:tc>
          <w:tcPr>
            <w:tcW w:w="964" w:type="dxa"/>
            <w:vAlign w:val="center"/>
          </w:tcPr>
          <w:p w14:paraId="014830BF" w14:textId="77777777" w:rsidR="00264CE9" w:rsidRPr="00887F6C" w:rsidRDefault="00264CE9" w:rsidP="000727A1">
            <w:pPr>
              <w:spacing w:before="60" w:after="60"/>
              <w:jc w:val="center"/>
              <w:rPr>
                <w:noProof/>
                <w:sz w:val="20"/>
              </w:rPr>
            </w:pPr>
            <w:r w:rsidRPr="00887F6C">
              <w:rPr>
                <w:noProof/>
                <w:sz w:val="20"/>
              </w:rPr>
              <w:t>35,000</w:t>
            </w:r>
          </w:p>
        </w:tc>
        <w:tc>
          <w:tcPr>
            <w:tcW w:w="964" w:type="dxa"/>
            <w:vAlign w:val="center"/>
          </w:tcPr>
          <w:p w14:paraId="4982C09D" w14:textId="77777777" w:rsidR="00264CE9" w:rsidRPr="00887F6C" w:rsidRDefault="00264CE9" w:rsidP="000727A1">
            <w:pPr>
              <w:spacing w:before="60" w:after="60"/>
              <w:jc w:val="center"/>
              <w:rPr>
                <w:noProof/>
                <w:sz w:val="20"/>
              </w:rPr>
            </w:pPr>
            <w:r w:rsidRPr="00887F6C">
              <w:rPr>
                <w:noProof/>
                <w:sz w:val="20"/>
              </w:rPr>
              <w:t>35,000</w:t>
            </w:r>
          </w:p>
        </w:tc>
        <w:tc>
          <w:tcPr>
            <w:tcW w:w="1158" w:type="dxa"/>
            <w:vAlign w:val="center"/>
          </w:tcPr>
          <w:p w14:paraId="38242DD7" w14:textId="77777777" w:rsidR="00264CE9" w:rsidRPr="00887F6C" w:rsidRDefault="00264CE9" w:rsidP="000727A1">
            <w:pPr>
              <w:spacing w:before="60" w:after="60"/>
              <w:jc w:val="center"/>
              <w:rPr>
                <w:noProof/>
                <w:sz w:val="20"/>
              </w:rPr>
            </w:pPr>
            <w:r w:rsidRPr="00887F6C">
              <w:rPr>
                <w:noProof/>
                <w:sz w:val="20"/>
              </w:rPr>
              <w:t>105,000</w:t>
            </w:r>
          </w:p>
        </w:tc>
      </w:tr>
      <w:tr w:rsidR="00264CE9" w:rsidRPr="00887F6C" w14:paraId="5AE270EC" w14:textId="77777777" w:rsidTr="000727A1">
        <w:trPr>
          <w:cantSplit/>
          <w:jc w:val="center"/>
        </w:trPr>
        <w:tc>
          <w:tcPr>
            <w:tcW w:w="2340" w:type="dxa"/>
          </w:tcPr>
          <w:p w14:paraId="04E5180D" w14:textId="77777777" w:rsidR="00264CE9" w:rsidRPr="00887F6C" w:rsidRDefault="00264CE9" w:rsidP="000727A1">
            <w:pPr>
              <w:spacing w:before="60" w:after="60"/>
              <w:jc w:val="left"/>
              <w:rPr>
                <w:noProof/>
                <w:sz w:val="20"/>
              </w:rPr>
            </w:pPr>
            <w:r w:rsidRPr="00887F6C">
              <w:rPr>
                <w:noProof/>
                <w:sz w:val="20"/>
              </w:rPr>
              <w:t xml:space="preserve">TOTAL credite cofinanțate </w:t>
            </w:r>
          </w:p>
        </w:tc>
        <w:tc>
          <w:tcPr>
            <w:tcW w:w="964" w:type="dxa"/>
            <w:vAlign w:val="center"/>
          </w:tcPr>
          <w:p w14:paraId="63D85C53" w14:textId="77777777" w:rsidR="00264CE9" w:rsidRPr="00887F6C" w:rsidRDefault="00264CE9" w:rsidP="000727A1">
            <w:pPr>
              <w:spacing w:before="60" w:after="60"/>
              <w:jc w:val="center"/>
              <w:rPr>
                <w:noProof/>
                <w:sz w:val="20"/>
              </w:rPr>
            </w:pPr>
          </w:p>
        </w:tc>
        <w:tc>
          <w:tcPr>
            <w:tcW w:w="964" w:type="dxa"/>
            <w:vAlign w:val="center"/>
          </w:tcPr>
          <w:p w14:paraId="7E5ABF6E" w14:textId="77777777" w:rsidR="00264CE9" w:rsidRPr="00887F6C" w:rsidRDefault="00264CE9" w:rsidP="000727A1">
            <w:pPr>
              <w:spacing w:before="60" w:after="60"/>
              <w:jc w:val="center"/>
              <w:rPr>
                <w:noProof/>
                <w:sz w:val="20"/>
              </w:rPr>
            </w:pPr>
          </w:p>
        </w:tc>
        <w:tc>
          <w:tcPr>
            <w:tcW w:w="964" w:type="dxa"/>
            <w:vAlign w:val="center"/>
          </w:tcPr>
          <w:p w14:paraId="7A6ED2A6" w14:textId="77777777" w:rsidR="00264CE9" w:rsidRPr="00887F6C" w:rsidRDefault="00264CE9" w:rsidP="000727A1">
            <w:pPr>
              <w:spacing w:before="60" w:after="60"/>
              <w:jc w:val="center"/>
              <w:rPr>
                <w:noProof/>
                <w:sz w:val="20"/>
              </w:rPr>
            </w:pPr>
          </w:p>
        </w:tc>
        <w:tc>
          <w:tcPr>
            <w:tcW w:w="964" w:type="dxa"/>
            <w:vAlign w:val="center"/>
          </w:tcPr>
          <w:p w14:paraId="08941588" w14:textId="77777777" w:rsidR="00264CE9" w:rsidRPr="00887F6C" w:rsidRDefault="00264CE9" w:rsidP="000727A1">
            <w:pPr>
              <w:spacing w:before="60" w:after="60"/>
              <w:jc w:val="center"/>
              <w:rPr>
                <w:noProof/>
                <w:sz w:val="20"/>
              </w:rPr>
            </w:pPr>
          </w:p>
        </w:tc>
        <w:tc>
          <w:tcPr>
            <w:tcW w:w="964" w:type="dxa"/>
            <w:vAlign w:val="center"/>
          </w:tcPr>
          <w:p w14:paraId="340AB330" w14:textId="77777777" w:rsidR="00264CE9" w:rsidRPr="00887F6C" w:rsidRDefault="00264CE9" w:rsidP="000727A1">
            <w:pPr>
              <w:spacing w:before="60" w:after="60"/>
              <w:jc w:val="center"/>
              <w:rPr>
                <w:noProof/>
                <w:sz w:val="20"/>
              </w:rPr>
            </w:pPr>
            <w:r w:rsidRPr="00887F6C">
              <w:rPr>
                <w:noProof/>
                <w:sz w:val="20"/>
              </w:rPr>
              <w:t>35,000</w:t>
            </w:r>
          </w:p>
        </w:tc>
        <w:tc>
          <w:tcPr>
            <w:tcW w:w="964" w:type="dxa"/>
            <w:vAlign w:val="center"/>
          </w:tcPr>
          <w:p w14:paraId="1988F56F" w14:textId="77777777" w:rsidR="00264CE9" w:rsidRPr="00887F6C" w:rsidRDefault="00264CE9" w:rsidP="000727A1">
            <w:pPr>
              <w:spacing w:before="60" w:after="60"/>
              <w:jc w:val="center"/>
              <w:rPr>
                <w:noProof/>
                <w:sz w:val="20"/>
              </w:rPr>
            </w:pPr>
            <w:r w:rsidRPr="00887F6C">
              <w:rPr>
                <w:noProof/>
                <w:sz w:val="20"/>
              </w:rPr>
              <w:t>35,000</w:t>
            </w:r>
          </w:p>
        </w:tc>
        <w:tc>
          <w:tcPr>
            <w:tcW w:w="964" w:type="dxa"/>
            <w:vAlign w:val="center"/>
          </w:tcPr>
          <w:p w14:paraId="363C5142" w14:textId="77777777" w:rsidR="00264CE9" w:rsidRPr="00887F6C" w:rsidRDefault="00264CE9" w:rsidP="000727A1">
            <w:pPr>
              <w:spacing w:before="60" w:after="60"/>
              <w:jc w:val="center"/>
              <w:rPr>
                <w:noProof/>
                <w:sz w:val="20"/>
              </w:rPr>
            </w:pPr>
            <w:r w:rsidRPr="00887F6C">
              <w:rPr>
                <w:noProof/>
                <w:sz w:val="20"/>
              </w:rPr>
              <w:t>35,000</w:t>
            </w:r>
          </w:p>
        </w:tc>
        <w:tc>
          <w:tcPr>
            <w:tcW w:w="1158" w:type="dxa"/>
            <w:vAlign w:val="center"/>
          </w:tcPr>
          <w:p w14:paraId="430611B7" w14:textId="77777777" w:rsidR="00264CE9" w:rsidRPr="00887F6C" w:rsidRDefault="00264CE9" w:rsidP="000727A1">
            <w:pPr>
              <w:spacing w:before="60" w:after="60"/>
              <w:jc w:val="center"/>
              <w:rPr>
                <w:noProof/>
                <w:sz w:val="20"/>
              </w:rPr>
            </w:pPr>
            <w:r w:rsidRPr="00887F6C">
              <w:rPr>
                <w:noProof/>
                <w:sz w:val="20"/>
              </w:rPr>
              <w:t>105,000</w:t>
            </w:r>
          </w:p>
        </w:tc>
      </w:tr>
    </w:tbl>
    <w:p w14:paraId="3C12E69A" w14:textId="77777777" w:rsidR="00264CE9" w:rsidRPr="00887F6C" w:rsidRDefault="00264CE9" w:rsidP="000727A1">
      <w:pPr>
        <w:rPr>
          <w:noProof/>
        </w:rPr>
      </w:pPr>
    </w:p>
    <w:p w14:paraId="3C2565C2" w14:textId="76FEFF04" w:rsidR="00264CE9" w:rsidRPr="00887F6C" w:rsidRDefault="004432B5" w:rsidP="004432B5">
      <w:pPr>
        <w:pStyle w:val="ManualHeading2"/>
        <w:rPr>
          <w:bCs/>
          <w:noProof/>
          <w:szCs w:val="24"/>
        </w:rPr>
      </w:pPr>
      <w:bookmarkStart w:id="48" w:name="_Toc514941995"/>
      <w:bookmarkStart w:id="49" w:name="_Toc520485222"/>
      <w:r w:rsidRPr="004432B5">
        <w:t>3.3.</w:t>
      </w:r>
      <w:r w:rsidRPr="004432B5">
        <w:tab/>
      </w:r>
      <w:r w:rsidR="00264CE9" w:rsidRPr="00887F6C">
        <w:rPr>
          <w:noProof/>
        </w:rPr>
        <w:t>Impactul estimat asupra veniturilor</w:t>
      </w:r>
      <w:bookmarkEnd w:id="48"/>
      <w:bookmarkEnd w:id="49"/>
      <w:r w:rsidR="00264CE9" w:rsidRPr="00887F6C">
        <w:rPr>
          <w:noProof/>
        </w:rPr>
        <w:t xml:space="preserve"> </w:t>
      </w:r>
    </w:p>
    <w:p w14:paraId="01BD85B8" w14:textId="77777777" w:rsidR="00264CE9" w:rsidRPr="00887F6C" w:rsidRDefault="00264CE9" w:rsidP="000727A1">
      <w:pPr>
        <w:pStyle w:val="ListDash1"/>
        <w:rPr>
          <w:noProof/>
        </w:rPr>
      </w:pPr>
      <w:r w:rsidRPr="00887F6C">
        <w:rPr>
          <w:rFonts w:ascii="Wingdings" w:hAnsi="Wingdings"/>
          <w:noProof/>
        </w:rPr>
        <w:t></w:t>
      </w:r>
      <w:r w:rsidRPr="00887F6C">
        <w:rPr>
          <w:noProof/>
        </w:rPr>
        <w:tab/>
        <w:t>Propunerea/inițiativa nu are impact financiar asupra veniturilor.</w:t>
      </w:r>
    </w:p>
    <w:p w14:paraId="5EBF86D5" w14:textId="77777777" w:rsidR="00264CE9" w:rsidRPr="00887F6C" w:rsidRDefault="00264CE9" w:rsidP="000727A1">
      <w:pPr>
        <w:pStyle w:val="ListDash1"/>
        <w:rPr>
          <w:noProof/>
        </w:rPr>
      </w:pPr>
      <w:r w:rsidRPr="00887F6C">
        <w:rPr>
          <w:rFonts w:ascii="Wingdings" w:hAnsi="Wingdings"/>
          <w:noProof/>
        </w:rPr>
        <w:t></w:t>
      </w:r>
      <w:r w:rsidRPr="00887F6C">
        <w:rPr>
          <w:noProof/>
        </w:rPr>
        <w:tab/>
        <w:t>Propunerea/inițiativa are următorul impact financiar:</w:t>
      </w:r>
    </w:p>
    <w:p w14:paraId="74A492E9" w14:textId="77777777" w:rsidR="00264CE9" w:rsidRPr="00887F6C" w:rsidRDefault="00264CE9" w:rsidP="000727A1">
      <w:pPr>
        <w:pStyle w:val="ListNumberLevel3"/>
        <w:rPr>
          <w:noProof/>
        </w:rPr>
      </w:pPr>
      <w:r w:rsidRPr="00887F6C">
        <w:rPr>
          <w:rFonts w:ascii="Wingdings" w:hAnsi="Wingdings"/>
          <w:noProof/>
        </w:rPr>
        <w:t></w:t>
      </w:r>
      <w:r w:rsidRPr="00887F6C">
        <w:rPr>
          <w:noProof/>
        </w:rPr>
        <w:tab/>
        <w:t xml:space="preserve">asupra resurselor proprii </w:t>
      </w:r>
    </w:p>
    <w:p w14:paraId="68A4FD50" w14:textId="77777777" w:rsidR="00264CE9" w:rsidRPr="00887F6C" w:rsidRDefault="00264CE9" w:rsidP="000727A1">
      <w:pPr>
        <w:pStyle w:val="ListNumberLevel3"/>
        <w:rPr>
          <w:noProof/>
        </w:rPr>
      </w:pPr>
      <w:r w:rsidRPr="00887F6C">
        <w:rPr>
          <w:rFonts w:ascii="Wingdings" w:hAnsi="Wingdings"/>
          <w:noProof/>
        </w:rPr>
        <w:t></w:t>
      </w:r>
      <w:r w:rsidRPr="00887F6C">
        <w:rPr>
          <w:noProof/>
        </w:rPr>
        <w:tab/>
        <w:t>asupra altor venituri</w:t>
      </w:r>
    </w:p>
    <w:p w14:paraId="1C96CBE4" w14:textId="77777777" w:rsidR="00264CE9" w:rsidRPr="00887F6C" w:rsidRDefault="00264CE9" w:rsidP="000727A1">
      <w:pPr>
        <w:rPr>
          <w:noProof/>
        </w:rPr>
      </w:pPr>
      <w:r w:rsidRPr="00887F6C">
        <w:rPr>
          <w:noProof/>
        </w:rPr>
        <w:t xml:space="preserve">vă rugăm să precizați dacă veniturile sunt alocate unor linii de cheltuieli </w:t>
      </w:r>
      <w:r w:rsidRPr="00887F6C">
        <w:rPr>
          <w:rFonts w:ascii="Wingdings" w:hAnsi="Wingdings"/>
          <w:noProof/>
        </w:rPr>
        <w:t></w:t>
      </w:r>
      <w:r w:rsidRPr="00887F6C">
        <w:rPr>
          <w:noProof/>
        </w:rPr>
        <w:tab/>
      </w:r>
    </w:p>
    <w:p w14:paraId="6018BDE5" w14:textId="77777777" w:rsidR="00264CE9" w:rsidRPr="00887F6C" w:rsidRDefault="00264CE9" w:rsidP="000727A1">
      <w:pPr>
        <w:jc w:val="right"/>
        <w:rPr>
          <w:i/>
          <w:noProof/>
          <w:sz w:val="20"/>
        </w:rPr>
      </w:pPr>
      <w:r w:rsidRPr="00887F6C">
        <w:rPr>
          <w:noProof/>
        </w:rPr>
        <w:t>milioane EUR (cu trei zecimale)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264CE9" w:rsidRPr="00887F6C" w14:paraId="5B838653" w14:textId="77777777" w:rsidTr="6948CE82">
        <w:trPr>
          <w:trHeight w:val="388"/>
          <w:jc w:val="center"/>
        </w:trPr>
        <w:tc>
          <w:tcPr>
            <w:tcW w:w="2144" w:type="dxa"/>
            <w:vMerge w:val="restart"/>
            <w:vAlign w:val="center"/>
          </w:tcPr>
          <w:p w14:paraId="3039F2C1" w14:textId="77777777" w:rsidR="00264CE9" w:rsidRPr="00887F6C" w:rsidRDefault="00264CE9" w:rsidP="000727A1">
            <w:pPr>
              <w:spacing w:before="40" w:after="40"/>
              <w:rPr>
                <w:noProof/>
                <w:sz w:val="18"/>
              </w:rPr>
            </w:pPr>
            <w:r w:rsidRPr="00887F6C">
              <w:rPr>
                <w:noProof/>
                <w:sz w:val="18"/>
              </w:rPr>
              <w:t>Linia bugetară pentru venituri:</w:t>
            </w:r>
          </w:p>
        </w:tc>
        <w:tc>
          <w:tcPr>
            <w:tcW w:w="7200" w:type="dxa"/>
            <w:gridSpan w:val="7"/>
            <w:vAlign w:val="center"/>
          </w:tcPr>
          <w:p w14:paraId="3A22938E" w14:textId="77777777" w:rsidR="00264CE9" w:rsidRPr="00887F6C" w:rsidRDefault="38EAB029" w:rsidP="000727A1">
            <w:pPr>
              <w:jc w:val="center"/>
              <w:rPr>
                <w:noProof/>
                <w:sz w:val="18"/>
              </w:rPr>
            </w:pPr>
            <w:r w:rsidRPr="00887F6C">
              <w:rPr>
                <w:noProof/>
                <w:sz w:val="18"/>
              </w:rPr>
              <w:t>Impactul propunerii/inițiativei</w:t>
            </w:r>
            <w:r w:rsidRPr="00887F6C">
              <w:rPr>
                <w:rStyle w:val="Referinnotdesubsol"/>
                <w:noProof/>
                <w:sz w:val="18"/>
              </w:rPr>
              <w:footnoteReference w:id="41"/>
            </w:r>
          </w:p>
        </w:tc>
      </w:tr>
      <w:tr w:rsidR="00264CE9" w:rsidRPr="00887F6C" w14:paraId="7DBD4C95" w14:textId="77777777" w:rsidTr="6948CE82">
        <w:trPr>
          <w:trHeight w:val="388"/>
          <w:jc w:val="center"/>
        </w:trPr>
        <w:tc>
          <w:tcPr>
            <w:tcW w:w="2144" w:type="dxa"/>
            <w:vMerge/>
          </w:tcPr>
          <w:p w14:paraId="5FC512E4" w14:textId="77777777" w:rsidR="00264CE9" w:rsidRPr="00887F6C" w:rsidRDefault="00264CE9" w:rsidP="000727A1">
            <w:pPr>
              <w:spacing w:before="40" w:after="40"/>
              <w:rPr>
                <w:noProof/>
                <w:sz w:val="18"/>
              </w:rPr>
            </w:pPr>
          </w:p>
        </w:tc>
        <w:tc>
          <w:tcPr>
            <w:tcW w:w="1080" w:type="dxa"/>
            <w:vAlign w:val="center"/>
          </w:tcPr>
          <w:p w14:paraId="26728E85" w14:textId="77777777" w:rsidR="00264CE9" w:rsidRPr="00887F6C" w:rsidRDefault="00264CE9" w:rsidP="000727A1">
            <w:pPr>
              <w:jc w:val="center"/>
              <w:rPr>
                <w:noProof/>
                <w:sz w:val="18"/>
              </w:rPr>
            </w:pPr>
            <w:r w:rsidRPr="00887F6C">
              <w:rPr>
                <w:b/>
                <w:noProof/>
                <w:sz w:val="20"/>
              </w:rPr>
              <w:t>2021</w:t>
            </w:r>
          </w:p>
        </w:tc>
        <w:tc>
          <w:tcPr>
            <w:tcW w:w="900" w:type="dxa"/>
            <w:vAlign w:val="center"/>
          </w:tcPr>
          <w:p w14:paraId="13D2480E" w14:textId="77777777" w:rsidR="00264CE9" w:rsidRPr="00887F6C" w:rsidRDefault="00264CE9" w:rsidP="000727A1">
            <w:pPr>
              <w:jc w:val="center"/>
              <w:rPr>
                <w:b/>
                <w:noProof/>
                <w:sz w:val="20"/>
              </w:rPr>
            </w:pPr>
            <w:r w:rsidRPr="00887F6C">
              <w:rPr>
                <w:b/>
                <w:noProof/>
                <w:sz w:val="20"/>
              </w:rPr>
              <w:t>2022</w:t>
            </w:r>
          </w:p>
        </w:tc>
        <w:tc>
          <w:tcPr>
            <w:tcW w:w="900" w:type="dxa"/>
            <w:vAlign w:val="center"/>
          </w:tcPr>
          <w:p w14:paraId="0522FC5C" w14:textId="77777777" w:rsidR="00264CE9" w:rsidRPr="00887F6C" w:rsidRDefault="00264CE9" w:rsidP="000727A1">
            <w:pPr>
              <w:jc w:val="center"/>
              <w:rPr>
                <w:b/>
                <w:noProof/>
                <w:sz w:val="20"/>
              </w:rPr>
            </w:pPr>
            <w:r w:rsidRPr="00887F6C">
              <w:rPr>
                <w:b/>
                <w:noProof/>
                <w:sz w:val="20"/>
              </w:rPr>
              <w:t>2023</w:t>
            </w:r>
          </w:p>
        </w:tc>
        <w:tc>
          <w:tcPr>
            <w:tcW w:w="1080" w:type="dxa"/>
            <w:vAlign w:val="center"/>
          </w:tcPr>
          <w:p w14:paraId="2A37FC89" w14:textId="77777777" w:rsidR="00264CE9" w:rsidRPr="00887F6C" w:rsidRDefault="00264CE9" w:rsidP="000727A1">
            <w:pPr>
              <w:jc w:val="center"/>
              <w:rPr>
                <w:b/>
                <w:noProof/>
                <w:sz w:val="20"/>
              </w:rPr>
            </w:pPr>
            <w:r w:rsidRPr="00887F6C">
              <w:rPr>
                <w:b/>
                <w:noProof/>
                <w:sz w:val="20"/>
              </w:rPr>
              <w:t>2024</w:t>
            </w:r>
          </w:p>
        </w:tc>
        <w:tc>
          <w:tcPr>
            <w:tcW w:w="1080" w:type="dxa"/>
            <w:vAlign w:val="center"/>
          </w:tcPr>
          <w:p w14:paraId="40DFE691" w14:textId="77777777" w:rsidR="00264CE9" w:rsidRPr="00887F6C" w:rsidRDefault="00264CE9" w:rsidP="000727A1">
            <w:pPr>
              <w:jc w:val="center"/>
              <w:rPr>
                <w:b/>
                <w:noProof/>
                <w:sz w:val="20"/>
              </w:rPr>
            </w:pPr>
            <w:r w:rsidRPr="00887F6C">
              <w:rPr>
                <w:b/>
                <w:noProof/>
                <w:sz w:val="20"/>
              </w:rPr>
              <w:t>2025</w:t>
            </w:r>
          </w:p>
        </w:tc>
        <w:tc>
          <w:tcPr>
            <w:tcW w:w="1080" w:type="dxa"/>
            <w:vAlign w:val="center"/>
          </w:tcPr>
          <w:p w14:paraId="689D1780" w14:textId="77777777" w:rsidR="00264CE9" w:rsidRPr="00887F6C" w:rsidRDefault="00264CE9" w:rsidP="000727A1">
            <w:pPr>
              <w:jc w:val="center"/>
              <w:rPr>
                <w:b/>
                <w:noProof/>
                <w:sz w:val="20"/>
              </w:rPr>
            </w:pPr>
            <w:r w:rsidRPr="00887F6C">
              <w:rPr>
                <w:b/>
                <w:noProof/>
                <w:sz w:val="20"/>
              </w:rPr>
              <w:t>2026</w:t>
            </w:r>
          </w:p>
        </w:tc>
        <w:tc>
          <w:tcPr>
            <w:tcW w:w="1080" w:type="dxa"/>
            <w:vAlign w:val="center"/>
          </w:tcPr>
          <w:p w14:paraId="6D9B66A2" w14:textId="77777777" w:rsidR="00264CE9" w:rsidRPr="00887F6C" w:rsidRDefault="00264CE9" w:rsidP="000727A1">
            <w:pPr>
              <w:jc w:val="center"/>
              <w:rPr>
                <w:b/>
                <w:noProof/>
                <w:sz w:val="20"/>
              </w:rPr>
            </w:pPr>
            <w:r w:rsidRPr="00887F6C">
              <w:rPr>
                <w:b/>
                <w:noProof/>
                <w:sz w:val="20"/>
              </w:rPr>
              <w:t>2027</w:t>
            </w:r>
          </w:p>
        </w:tc>
      </w:tr>
      <w:tr w:rsidR="00264CE9" w:rsidRPr="00887F6C" w14:paraId="35EF6363" w14:textId="77777777" w:rsidTr="6948CE82">
        <w:trPr>
          <w:trHeight w:val="388"/>
          <w:jc w:val="center"/>
        </w:trPr>
        <w:tc>
          <w:tcPr>
            <w:tcW w:w="2144" w:type="dxa"/>
            <w:vAlign w:val="center"/>
          </w:tcPr>
          <w:p w14:paraId="622FFA85" w14:textId="77777777" w:rsidR="00264CE9" w:rsidRPr="00887F6C" w:rsidRDefault="00264CE9" w:rsidP="000727A1">
            <w:pPr>
              <w:spacing w:before="40" w:after="40"/>
              <w:rPr>
                <w:noProof/>
                <w:sz w:val="18"/>
              </w:rPr>
            </w:pPr>
            <w:r w:rsidRPr="00887F6C">
              <w:rPr>
                <w:noProof/>
                <w:sz w:val="18"/>
              </w:rPr>
              <w:t>Articolul ………….</w:t>
            </w:r>
          </w:p>
        </w:tc>
        <w:tc>
          <w:tcPr>
            <w:tcW w:w="1080" w:type="dxa"/>
          </w:tcPr>
          <w:p w14:paraId="65AAAD09" w14:textId="77777777" w:rsidR="00264CE9" w:rsidRPr="00887F6C" w:rsidRDefault="00264CE9" w:rsidP="000727A1">
            <w:pPr>
              <w:spacing w:beforeLines="40" w:before="96" w:afterLines="40" w:after="96"/>
              <w:jc w:val="center"/>
              <w:rPr>
                <w:noProof/>
                <w:sz w:val="18"/>
              </w:rPr>
            </w:pPr>
          </w:p>
        </w:tc>
        <w:tc>
          <w:tcPr>
            <w:tcW w:w="900" w:type="dxa"/>
          </w:tcPr>
          <w:p w14:paraId="5FBD219D" w14:textId="77777777" w:rsidR="00264CE9" w:rsidRPr="00887F6C" w:rsidRDefault="00264CE9" w:rsidP="000727A1">
            <w:pPr>
              <w:spacing w:beforeLines="40" w:before="96" w:afterLines="40" w:after="96"/>
              <w:jc w:val="center"/>
              <w:rPr>
                <w:noProof/>
                <w:sz w:val="18"/>
              </w:rPr>
            </w:pPr>
          </w:p>
        </w:tc>
        <w:tc>
          <w:tcPr>
            <w:tcW w:w="900" w:type="dxa"/>
          </w:tcPr>
          <w:p w14:paraId="75BF5AB9" w14:textId="77777777" w:rsidR="00264CE9" w:rsidRPr="00887F6C" w:rsidRDefault="00264CE9" w:rsidP="000727A1">
            <w:pPr>
              <w:spacing w:beforeLines="40" w:before="96" w:afterLines="40" w:after="96"/>
              <w:jc w:val="center"/>
              <w:rPr>
                <w:noProof/>
                <w:sz w:val="18"/>
              </w:rPr>
            </w:pPr>
          </w:p>
        </w:tc>
        <w:tc>
          <w:tcPr>
            <w:tcW w:w="1080" w:type="dxa"/>
          </w:tcPr>
          <w:p w14:paraId="4908717A" w14:textId="77777777" w:rsidR="00264CE9" w:rsidRPr="00887F6C" w:rsidRDefault="00264CE9" w:rsidP="000727A1">
            <w:pPr>
              <w:spacing w:beforeLines="40" w:before="96" w:afterLines="40" w:after="96"/>
              <w:jc w:val="center"/>
              <w:rPr>
                <w:noProof/>
                <w:sz w:val="18"/>
              </w:rPr>
            </w:pPr>
          </w:p>
        </w:tc>
        <w:tc>
          <w:tcPr>
            <w:tcW w:w="1080" w:type="dxa"/>
          </w:tcPr>
          <w:p w14:paraId="63F64257" w14:textId="77777777" w:rsidR="00264CE9" w:rsidRPr="00887F6C" w:rsidRDefault="00264CE9" w:rsidP="000727A1">
            <w:pPr>
              <w:spacing w:beforeLines="40" w:before="96" w:afterLines="40" w:after="96"/>
              <w:jc w:val="center"/>
              <w:rPr>
                <w:noProof/>
                <w:sz w:val="18"/>
              </w:rPr>
            </w:pPr>
          </w:p>
        </w:tc>
        <w:tc>
          <w:tcPr>
            <w:tcW w:w="1080" w:type="dxa"/>
          </w:tcPr>
          <w:p w14:paraId="795BE875" w14:textId="77777777" w:rsidR="00264CE9" w:rsidRPr="00887F6C" w:rsidRDefault="00264CE9" w:rsidP="000727A1">
            <w:pPr>
              <w:spacing w:beforeLines="40" w:before="96" w:afterLines="40" w:after="96"/>
              <w:jc w:val="center"/>
              <w:rPr>
                <w:noProof/>
                <w:sz w:val="18"/>
              </w:rPr>
            </w:pPr>
          </w:p>
        </w:tc>
        <w:tc>
          <w:tcPr>
            <w:tcW w:w="1080" w:type="dxa"/>
          </w:tcPr>
          <w:p w14:paraId="55F1BD13" w14:textId="77777777" w:rsidR="00264CE9" w:rsidRPr="00887F6C" w:rsidRDefault="00264CE9" w:rsidP="000727A1">
            <w:pPr>
              <w:spacing w:beforeLines="40" w:before="96" w:afterLines="40" w:after="96"/>
              <w:jc w:val="center"/>
              <w:rPr>
                <w:noProof/>
                <w:sz w:val="18"/>
              </w:rPr>
            </w:pPr>
          </w:p>
        </w:tc>
      </w:tr>
    </w:tbl>
    <w:p w14:paraId="3BC48C81" w14:textId="77777777" w:rsidR="00264CE9" w:rsidRPr="00887F6C" w:rsidRDefault="00264CE9" w:rsidP="000727A1">
      <w:pPr>
        <w:pStyle w:val="Text1"/>
        <w:rPr>
          <w:noProof/>
          <w:sz w:val="20"/>
        </w:rPr>
      </w:pPr>
      <w:r w:rsidRPr="00887F6C">
        <w:rPr>
          <w:noProof/>
          <w:sz w:val="20"/>
        </w:rPr>
        <w:t>Pentru veniturile alocate, a se preciza linia (liniile) bugetară (bugetare) de cheltuieli afectată (afectate).</w:t>
      </w:r>
    </w:p>
    <w:p w14:paraId="7E4F0BE6" w14:textId="77777777" w:rsidR="007010A9" w:rsidRPr="00887F6C" w:rsidRDefault="007010A9" w:rsidP="000727A1">
      <w:pPr>
        <w:pStyle w:val="Text1"/>
        <w:rPr>
          <w:noProof/>
        </w:rPr>
      </w:pPr>
    </w:p>
    <w:p w14:paraId="39886AFE" w14:textId="77777777" w:rsidR="00264CE9" w:rsidRPr="00887F6C" w:rsidRDefault="00264CE9" w:rsidP="000727A1">
      <w:pPr>
        <w:pStyle w:val="Text1"/>
        <w:rPr>
          <w:rStyle w:val="Referincomentariu"/>
          <w:noProof/>
        </w:rPr>
      </w:pPr>
      <w:r w:rsidRPr="00887F6C">
        <w:rPr>
          <w:noProof/>
          <w:sz w:val="20"/>
        </w:rPr>
        <w:t>Alte observații (de exemplu, metoda/formula utilizată pentru calcularea impactului asupra veniturilor sau orice alte informații).</w:t>
      </w:r>
      <w:r w:rsidRPr="00887F6C">
        <w:rPr>
          <w:noProof/>
        </w:rPr>
        <w:t xml:space="preserve"> </w:t>
      </w:r>
    </w:p>
    <w:sectPr w:rsidR="00264CE9" w:rsidRPr="00887F6C" w:rsidSect="0082666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605A" w14:textId="77777777" w:rsidR="00A4390C" w:rsidRDefault="00A4390C" w:rsidP="00C26153">
      <w:pPr>
        <w:spacing w:before="0" w:after="0"/>
      </w:pPr>
      <w:r>
        <w:separator/>
      </w:r>
    </w:p>
  </w:endnote>
  <w:endnote w:type="continuationSeparator" w:id="0">
    <w:p w14:paraId="1FC539C6" w14:textId="77777777" w:rsidR="00A4390C" w:rsidRDefault="00A4390C" w:rsidP="00C26153">
      <w:pPr>
        <w:spacing w:before="0" w:after="0"/>
      </w:pPr>
      <w:r>
        <w:continuationSeparator/>
      </w:r>
    </w:p>
  </w:endnote>
  <w:endnote w:type="continuationNotice" w:id="1">
    <w:p w14:paraId="5716B0A0" w14:textId="77777777" w:rsidR="00A4390C" w:rsidRDefault="00A439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F8E0" w14:textId="19047ECF" w:rsidR="00887F6C" w:rsidRPr="00826666" w:rsidRDefault="00826666" w:rsidP="00826666">
    <w:pPr>
      <w:pStyle w:val="Subsol"/>
      <w:rPr>
        <w:rFonts w:ascii="Arial" w:hAnsi="Arial" w:cs="Arial"/>
        <w:b/>
        <w:sz w:val="48"/>
      </w:rPr>
    </w:pPr>
    <w:r w:rsidRPr="00826666">
      <w:rPr>
        <w:rFonts w:ascii="Arial" w:hAnsi="Arial" w:cs="Arial"/>
        <w:b/>
        <w:sz w:val="48"/>
      </w:rPr>
      <w:t>RO</w:t>
    </w:r>
    <w:r w:rsidRPr="00826666">
      <w:rPr>
        <w:rFonts w:ascii="Arial" w:hAnsi="Arial" w:cs="Arial"/>
        <w:b/>
        <w:sz w:val="48"/>
      </w:rPr>
      <w:tab/>
    </w:r>
    <w:r w:rsidRPr="00826666">
      <w:rPr>
        <w:rFonts w:ascii="Arial" w:hAnsi="Arial" w:cs="Arial"/>
        <w:b/>
        <w:sz w:val="48"/>
      </w:rPr>
      <w:tab/>
    </w:r>
    <w:r w:rsidRPr="00826666">
      <w:tab/>
    </w:r>
    <w:r w:rsidRPr="00826666">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449E" w14:textId="09882220" w:rsidR="00826666" w:rsidRPr="00826666" w:rsidRDefault="00826666" w:rsidP="00826666">
    <w:pPr>
      <w:pStyle w:val="Subsol"/>
      <w:rPr>
        <w:rFonts w:ascii="Arial" w:hAnsi="Arial" w:cs="Arial"/>
        <w:b/>
        <w:sz w:val="48"/>
      </w:rPr>
    </w:pPr>
    <w:r w:rsidRPr="00826666">
      <w:rPr>
        <w:rFonts w:ascii="Arial" w:hAnsi="Arial" w:cs="Arial"/>
        <w:b/>
        <w:sz w:val="48"/>
      </w:rPr>
      <w:t>RO</w:t>
    </w:r>
    <w:r w:rsidRPr="00826666">
      <w:rPr>
        <w:rFonts w:ascii="Arial" w:hAnsi="Arial" w:cs="Arial"/>
        <w:b/>
        <w:sz w:val="48"/>
      </w:rPr>
      <w:tab/>
    </w:r>
    <w:r>
      <w:fldChar w:fldCharType="begin"/>
    </w:r>
    <w:r>
      <w:instrText xml:space="preserve"> PAGE  \* MERGEFORMAT </w:instrText>
    </w:r>
    <w:r>
      <w:fldChar w:fldCharType="separate"/>
    </w:r>
    <w:r w:rsidR="00123991">
      <w:rPr>
        <w:noProof/>
      </w:rPr>
      <w:t>24</w:t>
    </w:r>
    <w:r>
      <w:fldChar w:fldCharType="end"/>
    </w:r>
    <w:r>
      <w:tab/>
    </w:r>
    <w:r w:rsidRPr="00826666">
      <w:tab/>
    </w:r>
    <w:r w:rsidRPr="00826666">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0DF" w14:textId="77777777" w:rsidR="00826666" w:rsidRPr="00826666" w:rsidRDefault="00826666" w:rsidP="00826666">
    <w:pPr>
      <w:pStyle w:val="Subs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2FD5" w14:textId="72360CCA" w:rsidR="00826666" w:rsidRPr="00826666" w:rsidRDefault="00826666" w:rsidP="00826666">
    <w:pPr>
      <w:pStyle w:val="FooterLandscape"/>
      <w:rPr>
        <w:rFonts w:ascii="Arial" w:hAnsi="Arial" w:cs="Arial"/>
        <w:b/>
        <w:sz w:val="48"/>
      </w:rPr>
    </w:pPr>
    <w:r w:rsidRPr="00826666">
      <w:rPr>
        <w:rFonts w:ascii="Arial" w:hAnsi="Arial" w:cs="Arial"/>
        <w:b/>
        <w:sz w:val="48"/>
      </w:rPr>
      <w:t>RO</w:t>
    </w:r>
    <w:r w:rsidRPr="008266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26666">
      <w:tab/>
    </w:r>
    <w:r w:rsidRPr="00826666">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6BA4" w14:textId="77777777" w:rsidR="00826666" w:rsidRPr="00826666" w:rsidRDefault="00826666" w:rsidP="00826666">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2F96" w14:textId="7BD1D37F" w:rsidR="0084511B" w:rsidRPr="00826666" w:rsidRDefault="00826666" w:rsidP="00826666">
    <w:pPr>
      <w:pStyle w:val="Subsol"/>
      <w:rPr>
        <w:rFonts w:ascii="Arial" w:hAnsi="Arial" w:cs="Arial"/>
        <w:b/>
        <w:sz w:val="48"/>
      </w:rPr>
    </w:pPr>
    <w:r w:rsidRPr="00826666">
      <w:rPr>
        <w:rFonts w:ascii="Arial" w:hAnsi="Arial" w:cs="Arial"/>
        <w:b/>
        <w:sz w:val="48"/>
      </w:rPr>
      <w:t>RO</w:t>
    </w:r>
    <w:r w:rsidRPr="00826666">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826666">
      <w:tab/>
    </w:r>
    <w:r w:rsidRPr="00826666">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B48A" w14:textId="77777777" w:rsidR="00826666" w:rsidRPr="00826666" w:rsidRDefault="00826666" w:rsidP="008266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C584" w14:textId="77777777" w:rsidR="00A4390C" w:rsidRDefault="00A4390C" w:rsidP="00C26153">
      <w:pPr>
        <w:spacing w:before="0" w:after="0"/>
      </w:pPr>
      <w:r>
        <w:separator/>
      </w:r>
    </w:p>
  </w:footnote>
  <w:footnote w:type="continuationSeparator" w:id="0">
    <w:p w14:paraId="1276B207" w14:textId="77777777" w:rsidR="00A4390C" w:rsidRDefault="00A4390C" w:rsidP="00C26153">
      <w:pPr>
        <w:spacing w:before="0" w:after="0"/>
      </w:pPr>
      <w:r>
        <w:continuationSeparator/>
      </w:r>
    </w:p>
  </w:footnote>
  <w:footnote w:type="continuationNotice" w:id="1">
    <w:p w14:paraId="66FD20F0" w14:textId="77777777" w:rsidR="00A4390C" w:rsidRDefault="00A4390C">
      <w:pPr>
        <w:spacing w:before="0" w:after="0"/>
      </w:pPr>
    </w:p>
  </w:footnote>
  <w:footnote w:id="2">
    <w:p w14:paraId="7A7C38DE" w14:textId="77777777" w:rsidR="00887F6C" w:rsidRPr="00133812" w:rsidRDefault="00887F6C">
      <w:pPr>
        <w:pStyle w:val="Textnotdesubsol"/>
      </w:pPr>
      <w:r>
        <w:rPr>
          <w:rStyle w:val="Referinnotdesubsol"/>
        </w:rPr>
        <w:footnoteRef/>
      </w:r>
      <w:r>
        <w:tab/>
        <w:t>Decizia (UE) 2017/1324 a Parlamentului European și a Consiliului din 4 iulie 2017 privind participarea Uniunii la Parteneriatul în domeniul cercetării și inovării în zona mediteraneeană (PRIMA) derulat în comun de mai multe state membre (JO L 185, 18.7.2017, p. 1).</w:t>
      </w:r>
    </w:p>
  </w:footnote>
  <w:footnote w:id="3">
    <w:p w14:paraId="0A9E894C" w14:textId="77777777" w:rsidR="00887F6C" w:rsidRDefault="00887F6C" w:rsidP="00E27A46">
      <w:pPr>
        <w:pStyle w:val="Textnotdesubsol"/>
      </w:pPr>
      <w:r>
        <w:rPr>
          <w:rStyle w:val="Referinnotdesubsol"/>
        </w:rPr>
        <w:footnoteRef/>
      </w:r>
      <w:r>
        <w:tab/>
        <w:t>Evaluare intermediară a Parteneriatului în domeniul cercetării și inovării în zona mediteraneeană (PRIMA)</w:t>
      </w:r>
    </w:p>
    <w:p w14:paraId="7F05EAC4" w14:textId="77777777" w:rsidR="00887F6C" w:rsidRDefault="00887F6C" w:rsidP="00E27A46">
      <w:pPr>
        <w:pStyle w:val="Textnotdesubsol"/>
        <w:ind w:firstLine="0"/>
      </w:pPr>
      <w:r>
        <w:t>COM(2023) 285 final</w:t>
      </w:r>
    </w:p>
  </w:footnote>
  <w:footnote w:id="4">
    <w:p w14:paraId="210C7052" w14:textId="77777777" w:rsidR="00887F6C" w:rsidRPr="00C02CEF" w:rsidRDefault="00887F6C">
      <w:pPr>
        <w:pStyle w:val="Textnotdesubsol"/>
      </w:pPr>
      <w:r>
        <w:rPr>
          <w:rStyle w:val="Referinnotdesubsol"/>
        </w:rPr>
        <w:footnoteRef/>
      </w:r>
      <w:r>
        <w:tab/>
        <w:t>https://commission.europa.eu/strategy-and-policy/priorities-2019-2024/european-green-deal_en</w:t>
      </w:r>
    </w:p>
  </w:footnote>
  <w:footnote w:id="5">
    <w:p w14:paraId="753DAADD" w14:textId="77777777" w:rsidR="00887F6C" w:rsidRPr="00C02CEF" w:rsidRDefault="00887F6C">
      <w:pPr>
        <w:pStyle w:val="Textnotdesubsol"/>
      </w:pPr>
      <w:r>
        <w:rPr>
          <w:rStyle w:val="Referinnotdesubsol"/>
        </w:rPr>
        <w:footnoteRef/>
      </w:r>
      <w:r>
        <w:tab/>
        <w:t>Comunicarea Comisiei către Parlamentul European, Consiliu, Comitetul Economic și Social European și Comitetul Regiunilor: O Strategie „De la fermă la consumator” pentru un sistem alimentar echitabil, sănătos și ecologic, COM(2020)381 final.</w:t>
      </w:r>
    </w:p>
  </w:footnote>
  <w:footnote w:id="6">
    <w:p w14:paraId="59D0DF83" w14:textId="77777777" w:rsidR="00887F6C" w:rsidRPr="00C02CEF" w:rsidRDefault="00887F6C" w:rsidP="00E27A46">
      <w:pPr>
        <w:pStyle w:val="Textnotdesubsol"/>
      </w:pPr>
      <w:r>
        <w:rPr>
          <w:rStyle w:val="Referinnotdesubsol"/>
        </w:rPr>
        <w:footnoteRef/>
      </w:r>
      <w:r>
        <w:tab/>
        <w:t>Comunicare a Comisiei către Parlamentul European, Consiliu, Comitetul Economic și Social European și Comitetul Regiunilor: Construirea unei Europe reziliente la schimbările climatice – Noua Strategie a UE privind adaptarea la schimbările climatice, COM/2021/82 final.</w:t>
      </w:r>
    </w:p>
  </w:footnote>
  <w:footnote w:id="7">
    <w:p w14:paraId="3D1B8EEA" w14:textId="77777777" w:rsidR="00887F6C" w:rsidRPr="00C02CEF" w:rsidRDefault="00887F6C" w:rsidP="00E27A46">
      <w:pPr>
        <w:pStyle w:val="Textnotdesubsol"/>
      </w:pPr>
      <w:r>
        <w:rPr>
          <w:rStyle w:val="Referinnotdesubsol"/>
        </w:rPr>
        <w:footnoteRef/>
      </w:r>
      <w:r>
        <w:tab/>
        <w:t>Comunicare a Comisiei către Parlamentul European, Consiliu, Comitetul Economic și Social European și Comitetul Regiunilor: Calea către o planetă sănătoasă pentru toți. Plan de acțiune al UE: „Către reducerea la zero a poluării aerului, apei și solului”, COM/2021/400 final.</w:t>
      </w:r>
    </w:p>
  </w:footnote>
  <w:footnote w:id="8">
    <w:p w14:paraId="6546772E" w14:textId="77777777" w:rsidR="00887F6C" w:rsidRPr="00C02CEF" w:rsidRDefault="00887F6C" w:rsidP="00E27A46">
      <w:pPr>
        <w:pStyle w:val="Textnotdesubsol"/>
      </w:pPr>
      <w:r>
        <w:rPr>
          <w:rStyle w:val="Referinnotdesubsol"/>
        </w:rPr>
        <w:footnoteRef/>
      </w:r>
      <w:r>
        <w:tab/>
        <w:t>O bioeconomie durabilă pentru Europa: consolidarea legăturilor dintre economie, societate și mediu, COM/2018/673 final.</w:t>
      </w:r>
    </w:p>
  </w:footnote>
  <w:footnote w:id="9">
    <w:p w14:paraId="5B570730" w14:textId="77777777" w:rsidR="00887F6C" w:rsidRPr="00F6671F" w:rsidRDefault="00887F6C" w:rsidP="00E27A46">
      <w:pPr>
        <w:pStyle w:val="Textnotdesubsol"/>
      </w:pPr>
      <w:r>
        <w:rPr>
          <w:rStyle w:val="Referinnotdesubsol"/>
        </w:rPr>
        <w:footnoteRef/>
      </w:r>
      <w:r>
        <w:tab/>
        <w:t>Misiunile UE în cadrul programului Orizont Europa (europa.eu)</w:t>
      </w:r>
    </w:p>
  </w:footnote>
  <w:footnote w:id="10">
    <w:p w14:paraId="34BB905C" w14:textId="77777777" w:rsidR="00887F6C" w:rsidRPr="00F6671F" w:rsidRDefault="00887F6C" w:rsidP="00C02CEF">
      <w:pPr>
        <w:pStyle w:val="Textnotdesubsol"/>
        <w:rPr>
          <w:sz w:val="24"/>
          <w:szCs w:val="24"/>
        </w:rPr>
      </w:pPr>
      <w:r>
        <w:rPr>
          <w:rStyle w:val="Referinnotdesubsol"/>
        </w:rPr>
        <w:footnoteRef/>
      </w:r>
      <w:r>
        <w:tab/>
      </w:r>
      <w:r>
        <w:rPr>
          <w:rStyle w:val="Referinnotdesubsol"/>
          <w:vertAlign w:val="baseline"/>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w:t>
      </w:r>
      <w:r>
        <w:rPr>
          <w:color w:val="333333"/>
          <w:sz w:val="24"/>
        </w:rPr>
        <w:t xml:space="preserve"> </w:t>
      </w:r>
    </w:p>
  </w:footnote>
  <w:footnote w:id="11">
    <w:p w14:paraId="1A9DDDAF" w14:textId="77777777" w:rsidR="00887F6C" w:rsidRPr="00C02CEF" w:rsidRDefault="00887F6C" w:rsidP="664F17C4">
      <w:pPr>
        <w:pStyle w:val="Textnotdesubsol"/>
      </w:pPr>
      <w:r>
        <w:rPr>
          <w:rStyle w:val="Referinnotdesubsol"/>
        </w:rPr>
        <w:footnoteRef/>
      </w:r>
      <w:r>
        <w:tab/>
        <w:t>UfM-Ministerial-Declaration-RI-EN-270622.pdf (ufmsecretariat.org)</w:t>
      </w:r>
    </w:p>
  </w:footnote>
  <w:footnote w:id="12">
    <w:p w14:paraId="354E4842" w14:textId="77777777" w:rsidR="00887F6C" w:rsidRPr="00C02CEF" w:rsidRDefault="00887F6C" w:rsidP="00E27A46">
      <w:pPr>
        <w:pStyle w:val="Textnotdesubsol"/>
        <w:rPr>
          <w:rFonts w:eastAsia="Tahoma"/>
          <w:color w:val="333333"/>
        </w:rPr>
      </w:pPr>
      <w:r>
        <w:rPr>
          <w:rStyle w:val="Referinnotdesubsol"/>
        </w:rPr>
        <w:footnoteRef/>
      </w:r>
      <w:r>
        <w:tab/>
        <w:t>Directiva 2000/60/CE a Parlamentului European și a Consiliului din 23 octombrie 2000 de stabilire a unui cadru de politică comunitară în domeniul apei, JO L 327, 22.12.2000.</w:t>
      </w:r>
    </w:p>
  </w:footnote>
  <w:footnote w:id="13">
    <w:p w14:paraId="1736E2F9" w14:textId="77777777" w:rsidR="00887F6C" w:rsidRPr="00C02CEF" w:rsidRDefault="00887F6C" w:rsidP="00C02CEF">
      <w:pPr>
        <w:spacing w:before="0" w:after="0"/>
        <w:ind w:left="720" w:hanging="720"/>
        <w:rPr>
          <w:rFonts w:eastAsia="Roboto"/>
          <w:color w:val="333333"/>
          <w:sz w:val="20"/>
          <w:szCs w:val="20"/>
        </w:rPr>
      </w:pPr>
      <w:r w:rsidRPr="00887F6C">
        <w:rPr>
          <w:rStyle w:val="Referinnotdesubsol"/>
        </w:rPr>
        <w:footnoteRef/>
      </w:r>
      <w:r>
        <w:tab/>
      </w:r>
      <w:r w:rsidRPr="00887F6C">
        <w:rPr>
          <w:sz w:val="20"/>
        </w:rPr>
        <w:t>Comunicarea Comisiei către Parlamentul European, Consiliu, Comitetul Economic și Social European și Comitetul Regiunilor: Un nou Plan de acțiune privind economia circulară pentru o Europă mai curată și mai competitivă, COM(2020)98 final.</w:t>
      </w:r>
    </w:p>
  </w:footnote>
  <w:footnote w:id="14">
    <w:p w14:paraId="2FAE1983" w14:textId="77777777" w:rsidR="00887F6C" w:rsidRPr="00C02CEF" w:rsidRDefault="00887F6C" w:rsidP="00C02CEF">
      <w:pPr>
        <w:pStyle w:val="Textnotdesubsol"/>
      </w:pPr>
      <w:r>
        <w:rPr>
          <w:rStyle w:val="Referinnotdesubsol"/>
        </w:rPr>
        <w:footnoteRef/>
      </w:r>
      <w:r>
        <w:tab/>
        <w:t>joint_communication_renewed_partnership_southern_neighbourhood.pdf (europa.eu)</w:t>
      </w:r>
    </w:p>
  </w:footnote>
  <w:footnote w:id="15">
    <w:p w14:paraId="45159320" w14:textId="77777777" w:rsidR="00887F6C" w:rsidRPr="00C02CEF" w:rsidRDefault="00887F6C" w:rsidP="00C02CEF">
      <w:pPr>
        <w:spacing w:before="0" w:after="75"/>
        <w:ind w:left="720" w:hanging="720"/>
        <w:rPr>
          <w:rFonts w:eastAsia="Roboto"/>
          <w:color w:val="333333"/>
          <w:sz w:val="20"/>
          <w:szCs w:val="20"/>
        </w:rPr>
      </w:pPr>
      <w:r w:rsidRPr="00887F6C">
        <w:rPr>
          <w:rStyle w:val="Referinnotdesubsol"/>
        </w:rPr>
        <w:footnoteRef/>
      </w:r>
      <w:r>
        <w:tab/>
      </w:r>
      <w:r w:rsidRPr="00887F6C">
        <w:rPr>
          <w:sz w:val="20"/>
        </w:rPr>
        <w:t>Comunicare a Comisiei către Parlamentul European, Consiliu, Comitetul Economic și Social European și Comitetul Regiunilor privind Abordarea globală a cercetării și a inovării: Strategia Europei privind cooperarea internațională într-o lume în schimbare, COM(2021)252 final.</w:t>
      </w:r>
    </w:p>
    <w:p w14:paraId="67BA18FA" w14:textId="77777777" w:rsidR="00887F6C" w:rsidRPr="00E27A46" w:rsidRDefault="00887F6C" w:rsidP="664F17C4">
      <w:pPr>
        <w:pStyle w:val="Textnotdesubsol"/>
        <w:rPr>
          <w:sz w:val="24"/>
          <w:szCs w:val="24"/>
        </w:rPr>
      </w:pPr>
    </w:p>
  </w:footnote>
  <w:footnote w:id="16">
    <w:p w14:paraId="695D0D4D" w14:textId="77777777" w:rsidR="00887F6C" w:rsidRPr="00C02CEF" w:rsidRDefault="00887F6C" w:rsidP="00C02CEF">
      <w:pPr>
        <w:pStyle w:val="Textnotdesubsol"/>
      </w:pPr>
      <w:r>
        <w:rPr>
          <w:rStyle w:val="Referinnotdesubsol"/>
        </w:rPr>
        <w:footnoteRef/>
      </w:r>
      <w:r>
        <w:tab/>
        <w:t>Parteneriatele europene în cadrul programului Orizont Europa (europa.eu)</w:t>
      </w:r>
    </w:p>
  </w:footnote>
  <w:footnote w:id="17">
    <w:p w14:paraId="31D4450D" w14:textId="77777777" w:rsidR="00887F6C" w:rsidRPr="00C02CEF" w:rsidRDefault="00887F6C" w:rsidP="00C02CEF">
      <w:pPr>
        <w:pStyle w:val="Textnotdesubsol"/>
      </w:pPr>
      <w:r>
        <w:rPr>
          <w:rStyle w:val="Referinnotdesubsol"/>
        </w:rPr>
        <w:footnoteRef/>
      </w:r>
      <w:r>
        <w:tab/>
        <w:t>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 (JO L 193, 30.7.2018, p. 1).</w:t>
      </w:r>
    </w:p>
  </w:footnote>
  <w:footnote w:id="18">
    <w:p w14:paraId="3769C3CA" w14:textId="77777777" w:rsidR="00887F6C" w:rsidRPr="00C02CEF" w:rsidRDefault="00887F6C" w:rsidP="00C02CEF">
      <w:pPr>
        <w:pStyle w:val="Textnotdesubsol"/>
      </w:pPr>
      <w:r>
        <w:rPr>
          <w:rStyle w:val="Referinnotdesubsol"/>
        </w:rPr>
        <w:footnoteRef/>
      </w:r>
      <w:r>
        <w:tab/>
        <w:t>Evaluare intermediară a Parteneriatului în domeniul cercetării și inovării în zona mediteraneeană (PRIMA), COM(2023) 285 final</w:t>
      </w:r>
    </w:p>
  </w:footnote>
  <w:footnote w:id="19">
    <w:p w14:paraId="6F88DB78" w14:textId="77777777" w:rsidR="00887F6C" w:rsidRPr="00C02CEF" w:rsidRDefault="00887F6C" w:rsidP="00C02CEF">
      <w:pPr>
        <w:pStyle w:val="Textnotdesubsol"/>
      </w:pPr>
      <w:r>
        <w:rPr>
          <w:rStyle w:val="Referinnotdesubsol"/>
        </w:rPr>
        <w:footnoteRef/>
      </w:r>
      <w:r>
        <w:tab/>
        <w:t xml:space="preserve">Avizul Comitetului Economic și Social European privind „Propunerea de Decizie a Parlamentului European și a Consiliului privind participarea Uniunii la Parteneriatul în domeniul cercetării și inovării în zona mediteraneeană (PRIMA) derulat în comun de mai multe state membre” [COM(2016) 662 final – 2016/0325 (COD)], C 125, 21.4.2017, p. 80. </w:t>
      </w:r>
    </w:p>
  </w:footnote>
  <w:footnote w:id="20">
    <w:p w14:paraId="7058888C" w14:textId="77777777" w:rsidR="00887F6C" w:rsidRPr="00C02CEF" w:rsidRDefault="00887F6C" w:rsidP="00962B68">
      <w:pPr>
        <w:pStyle w:val="Textnotdesubsol"/>
      </w:pPr>
      <w:r>
        <w:rPr>
          <w:rStyle w:val="Referinnotdesubsol"/>
        </w:rPr>
        <w:footnoteRef/>
      </w:r>
      <w:r>
        <w:tab/>
        <w:t>Decizia (UE) 2017/1324 a Parlamentului European și a Consiliului din 4 iulie 2017 privind participarea Uniunii la Parteneriatul în domeniul cercetării și inovării în zona mediteraneeană (PRIMA) derulat în comun de mai multe state membre (JO L 185, 18.7.2017, p. 1).</w:t>
      </w:r>
    </w:p>
  </w:footnote>
  <w:footnote w:id="21">
    <w:p w14:paraId="0F7B49BD" w14:textId="77777777" w:rsidR="00887F6C" w:rsidRPr="00C02CEF" w:rsidRDefault="00887F6C">
      <w:pPr>
        <w:pStyle w:val="Textnotdesubsol"/>
      </w:pPr>
      <w:r>
        <w:rPr>
          <w:rStyle w:val="Referinnotdesubsol"/>
        </w:rPr>
        <w:footnoteRef/>
      </w:r>
      <w:r>
        <w:tab/>
        <w:t>COM(2023)285 final</w:t>
      </w:r>
    </w:p>
  </w:footnote>
  <w:footnote w:id="22">
    <w:p w14:paraId="07C89A46" w14:textId="77777777" w:rsidR="00887F6C" w:rsidRPr="00887F6C" w:rsidRDefault="00887F6C" w:rsidP="00C02CEF">
      <w:pPr>
        <w:pStyle w:val="Textnotdesubsol"/>
        <w:jc w:val="left"/>
      </w:pPr>
      <w:r>
        <w:rPr>
          <w:rStyle w:val="Referinnotdesubsol"/>
        </w:rPr>
        <w:footnoteRef/>
      </w:r>
      <w:r>
        <w:tab/>
        <w:t xml:space="preserve">Decizia (UE) 2021/764 a Consiliului din 10 mai 2021 de instituire a programului specific de </w:t>
      </w:r>
      <w:r w:rsidRPr="00887F6C">
        <w:t>implementare a Programului-cadru pentru cercetare și inovare Orizont Europa și de abrogare a Deciziei 2013/743/UE (JO L 167I, 12.5.2021, p. 1).</w:t>
      </w:r>
    </w:p>
  </w:footnote>
  <w:footnote w:id="23">
    <w:p w14:paraId="35D33544" w14:textId="77777777" w:rsidR="00887F6C" w:rsidRPr="00887F6C" w:rsidRDefault="00887F6C" w:rsidP="00C02CEF">
      <w:pPr>
        <w:spacing w:before="0" w:after="0"/>
        <w:ind w:left="720" w:hanging="720"/>
        <w:rPr>
          <w:rFonts w:eastAsiaTheme="minorEastAsia"/>
          <w:iCs/>
          <w:color w:val="333333"/>
          <w:sz w:val="20"/>
          <w:szCs w:val="20"/>
        </w:rPr>
      </w:pPr>
      <w:r w:rsidRPr="00887F6C">
        <w:rPr>
          <w:rStyle w:val="Referinnotdesubsol"/>
        </w:rPr>
        <w:footnoteRef/>
      </w:r>
      <w:r w:rsidRPr="00887F6C">
        <w:rPr>
          <w:sz w:val="20"/>
          <w:szCs w:val="20"/>
        </w:rPr>
        <w:tab/>
        <w:t>Regulamentul (UE) nr. 1291/2013 al Parlamentului European și al Consiliului din 11 decembrie 2013 de instituire a Programului-cadru pentru cercetare și inovare (2014-2020) – Orizont 2020 și de abrogare a Deciziei nr. 1982/2006/CE</w:t>
      </w:r>
      <w:r w:rsidRPr="00887F6C">
        <w:rPr>
          <w:color w:val="333333"/>
          <w:sz w:val="20"/>
          <w:szCs w:val="20"/>
        </w:rPr>
        <w:t xml:space="preserve"> (JO L 347, 20.12.2013, p. 104)</w:t>
      </w:r>
    </w:p>
  </w:footnote>
  <w:footnote w:id="24">
    <w:p w14:paraId="02AF3046" w14:textId="77777777" w:rsidR="00887F6C" w:rsidRPr="00887F6C" w:rsidRDefault="00887F6C" w:rsidP="00C02CEF">
      <w:pPr>
        <w:spacing w:before="0" w:after="0"/>
        <w:ind w:left="720" w:hanging="720"/>
        <w:rPr>
          <w:rFonts w:eastAsia="Roboto"/>
          <w:b/>
          <w:bCs/>
          <w:color w:val="333333"/>
          <w:sz w:val="20"/>
          <w:szCs w:val="20"/>
        </w:rPr>
      </w:pPr>
      <w:r w:rsidRPr="00887F6C">
        <w:rPr>
          <w:rStyle w:val="Referinnotdesubsol"/>
        </w:rPr>
        <w:footnoteRef/>
      </w:r>
      <w:r w:rsidRPr="00887F6C">
        <w:rPr>
          <w:sz w:val="20"/>
          <w:szCs w:val="20"/>
        </w:rPr>
        <w:tab/>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(JO L 170, 12.5.2021, p. 1).</w:t>
      </w:r>
    </w:p>
  </w:footnote>
  <w:footnote w:id="25">
    <w:p w14:paraId="15DB943F" w14:textId="77777777" w:rsidR="00887F6C" w:rsidRPr="00C02CEF" w:rsidRDefault="00887F6C" w:rsidP="00C02CEF">
      <w:pPr>
        <w:pStyle w:val="Textnotdesubsol"/>
      </w:pPr>
      <w:r w:rsidRPr="00887F6C">
        <w:rPr>
          <w:rStyle w:val="Referinnotdesubsol"/>
        </w:rPr>
        <w:footnoteRef/>
      </w:r>
      <w:r w:rsidRPr="00887F6C">
        <w:tab/>
        <w:t>Regulamentul (UE, Euratom) 2018/1046 al Parlamentului European și al Consiliului din 18 iulie 2018 privind normele financiare aplicabile bugetului general al Uniunii, de modificare a Regulamentelor (UE) nr. 1296/2013, (UE) nr. 1301/2013, (UE) nr. 1303/2013, (UE) nr. 1304/2013, (UE) nr. 1309/2013,</w:t>
      </w:r>
      <w:r>
        <w:t xml:space="preserve"> (UE) nr. 1316/2013, (UE) nr. 223/2014, (UE) nr. 283/2014 și a Deciziei nr. 541/2014/UE și de abrogare a Regulamentului (UE, Euratom) nr. 966/2012 (JO L 193, 30.7.2018, p. 1).</w:t>
      </w:r>
    </w:p>
  </w:footnote>
  <w:footnote w:id="26">
    <w:p w14:paraId="23D2EBD0" w14:textId="77777777" w:rsidR="00887F6C" w:rsidRPr="00C02CEF" w:rsidRDefault="00887F6C" w:rsidP="00C02CEF">
      <w:pPr>
        <w:ind w:left="720" w:hanging="720"/>
        <w:rPr>
          <w:color w:val="000000" w:themeColor="text1"/>
          <w:sz w:val="20"/>
          <w:szCs w:val="20"/>
        </w:rPr>
      </w:pPr>
      <w:r w:rsidRPr="007E67C1">
        <w:rPr>
          <w:rStyle w:val="Referinnotdesubsol"/>
        </w:rPr>
        <w:footnoteRef/>
      </w:r>
      <w:r>
        <w:tab/>
      </w:r>
      <w:r>
        <w:rPr>
          <w:color w:val="000000" w:themeColor="text1"/>
          <w:sz w:val="20"/>
        </w:rPr>
        <w:t>Regulamentul (UE) 2021/695 al Parlamentului European și al Consiliului din 28 aprilie 2021 de instituire a programului-cadru pentru cercetare și inovare Orizont Europa, de stabilire a normelor sale de participare și de diseminare și de abrogare a Regulamentelor (UE) nr. 1290/2013 și (UE) nr. 1291/2013 (JO L 170, 12.5.2021, p. 1).</w:t>
      </w:r>
    </w:p>
  </w:footnote>
  <w:footnote w:id="27">
    <w:p w14:paraId="6DAD5A82" w14:textId="77777777" w:rsidR="00887F6C" w:rsidRPr="00C02CEF" w:rsidRDefault="00887F6C">
      <w:pPr>
        <w:pStyle w:val="Textnotdesubsol"/>
      </w:pPr>
      <w:r>
        <w:rPr>
          <w:rStyle w:val="Referinnotdesubsol"/>
        </w:rPr>
        <w:footnoteRef/>
      </w:r>
      <w:r>
        <w:tab/>
      </w:r>
      <w:r>
        <w:rPr>
          <w:rStyle w:val="normaltextrun"/>
          <w:color w:val="000000" w:themeColor="text1"/>
        </w:rPr>
        <w:t>Decizia (UE) 2021/764 a Consiliului din 10 mai 2021 de instituire a programului specific de implementare a Programului-cadru pentru cercetare și inovare Orizont Europa și de abrogare a Deciziei 2013/743/UE (JO L 167I, 12.5.2021, p. 1).</w:t>
      </w:r>
    </w:p>
  </w:footnote>
  <w:footnote w:id="28">
    <w:p w14:paraId="2E76262A" w14:textId="77777777" w:rsidR="00887F6C" w:rsidRPr="00E27A46" w:rsidRDefault="00887F6C">
      <w:pPr>
        <w:pStyle w:val="Textnotdesubsol"/>
      </w:pPr>
      <w:r>
        <w:rPr>
          <w:rStyle w:val="Referinnotdesubsol"/>
        </w:rPr>
        <w:footnoteRef/>
      </w:r>
      <w:r>
        <w:tab/>
        <w:t>Regulamentul (UE) 2017/1939 al Consiliului din 12 octombrie 2017 de punere în aplicare a unei forme de cooperare consolidată în ceea ce privește instituirea Parchetului European (EPPO) (JO L 283, 31.10.2017, p. 1).</w:t>
      </w:r>
    </w:p>
  </w:footnote>
  <w:footnote w:id="29">
    <w:p w14:paraId="05A2D355" w14:textId="77777777" w:rsidR="00887F6C" w:rsidRDefault="00887F6C" w:rsidP="000727A1">
      <w:pPr>
        <w:pStyle w:val="Textnotdesubsol"/>
        <w:rPr>
          <w:szCs w:val="24"/>
        </w:rPr>
      </w:pPr>
      <w:r>
        <w:rPr>
          <w:rStyle w:val="Referinnotdesubsol"/>
        </w:rPr>
        <w:footnoteRef/>
      </w:r>
      <w:r>
        <w:tab/>
        <w:t>Astfel cum se menționează la articolul 58 alineatul (2) litera (a) sau (b) din Regulamentul financiar.</w:t>
      </w:r>
    </w:p>
  </w:footnote>
  <w:footnote w:id="30">
    <w:p w14:paraId="52920E96" w14:textId="77777777" w:rsidR="00887F6C" w:rsidRDefault="00887F6C" w:rsidP="007010A9">
      <w:pPr>
        <w:pStyle w:val="Textnotdesubsol"/>
        <w:jc w:val="left"/>
        <w:rPr>
          <w:szCs w:val="24"/>
        </w:rPr>
      </w:pPr>
      <w:r>
        <w:rPr>
          <w:rStyle w:val="Referinnotdesubsol"/>
        </w:rPr>
        <w:footnoteRef/>
      </w:r>
      <w:r>
        <w:tab/>
        <w:t xml:space="preserve">Explicații detaliate privind modurile de gestiune, precum și trimiterile la Regulamentul financiar sunt disponibile pe site-ul de internet BudgWeb: https://myintracomm.ec.europa.eu/budgweb/EN/man/budgmanag/Pages/budgmanag.aspx </w:t>
      </w:r>
    </w:p>
  </w:footnote>
  <w:footnote w:id="31">
    <w:p w14:paraId="48467EDD" w14:textId="77777777" w:rsidR="00887F6C" w:rsidRDefault="00887F6C" w:rsidP="000727A1">
      <w:pPr>
        <w:pStyle w:val="Textnotdesubsol"/>
        <w:rPr>
          <w:szCs w:val="24"/>
        </w:rPr>
      </w:pPr>
      <w:r>
        <w:rPr>
          <w:rStyle w:val="Referinnotdesubsol"/>
        </w:rPr>
        <w:footnoteRef/>
      </w:r>
      <w:r>
        <w:tab/>
        <w:t>Dif. = credite diferențiate / Nedif. = credite nediferențiate.</w:t>
      </w:r>
    </w:p>
  </w:footnote>
  <w:footnote w:id="32">
    <w:p w14:paraId="537DAD1D" w14:textId="77777777" w:rsidR="00887F6C" w:rsidRDefault="00887F6C" w:rsidP="000727A1">
      <w:pPr>
        <w:pStyle w:val="Textnotdesubsol"/>
        <w:rPr>
          <w:szCs w:val="24"/>
        </w:rPr>
      </w:pPr>
      <w:r>
        <w:rPr>
          <w:rStyle w:val="Referinnotdesubsol"/>
        </w:rPr>
        <w:footnoteRef/>
      </w:r>
      <w:r>
        <w:tab/>
        <w:t xml:space="preserve">AELS: Asociația Europeană a Liberului Schimb. </w:t>
      </w:r>
    </w:p>
  </w:footnote>
  <w:footnote w:id="33">
    <w:p w14:paraId="176720A8" w14:textId="77777777" w:rsidR="00887F6C" w:rsidRPr="00BE2D42" w:rsidRDefault="00887F6C" w:rsidP="000727A1">
      <w:pPr>
        <w:pStyle w:val="Textnotdesubsol"/>
      </w:pPr>
      <w:r>
        <w:rPr>
          <w:rStyle w:val="Referinnotdesubsol"/>
        </w:rPr>
        <w:footnoteRef/>
      </w:r>
      <w:r>
        <w:tab/>
        <w:t>Țările candidate și, după caz, țările potențial candidate din Balcanii de Vest.</w:t>
      </w:r>
    </w:p>
  </w:footnote>
  <w:footnote w:id="34">
    <w:p w14:paraId="6A5C8ED1" w14:textId="77777777" w:rsidR="00887F6C" w:rsidRPr="00D032FC" w:rsidRDefault="00887F6C">
      <w:pPr>
        <w:pStyle w:val="Textnotdesubsol"/>
      </w:pPr>
      <w:r>
        <w:rPr>
          <w:rStyle w:val="Referinnotdesubsol"/>
        </w:rPr>
        <w:footnoteRef/>
      </w:r>
      <w:r>
        <w:tab/>
        <w:t>Angajamentele pentru anii 2025 și 2026 includ fiecare câte 1,2 milioane EUR pentru costurile administrative PRIMA. Angajamentele pentru anul 2027 includ 1,2 milioane EUR pentru 2027 și 2,7 milioane EUR pentru costurile administrative PRIMA post-2027.</w:t>
      </w:r>
    </w:p>
  </w:footnote>
  <w:footnote w:id="35">
    <w:p w14:paraId="7BDFD432" w14:textId="77777777" w:rsidR="00887F6C" w:rsidRPr="005374B1" w:rsidRDefault="00887F6C">
      <w:pPr>
        <w:pStyle w:val="Textnotdesubsol"/>
      </w:pPr>
      <w:r>
        <w:rPr>
          <w:rStyle w:val="Referinnotdesubsol"/>
        </w:rPr>
        <w:footnoteRef/>
      </w:r>
      <w:r>
        <w:tab/>
        <w:t>Plățile pentru anii 2026 și 2027 includ fiecare câte 1,2 milioane EUR pentru costurile administrative PRIMA. Plățile efectuate post-2027 includ 2,7 milioane EUR pentru costurile administrative PRIMA post-2027.</w:t>
      </w:r>
    </w:p>
  </w:footnote>
  <w:footnote w:id="36">
    <w:p w14:paraId="54DC6E0F" w14:textId="77777777" w:rsidR="00887F6C" w:rsidRDefault="00887F6C" w:rsidP="000727A1">
      <w:pPr>
        <w:pStyle w:val="Textnotdesubsol"/>
        <w:rPr>
          <w:szCs w:val="24"/>
        </w:rPr>
      </w:pPr>
      <w:r>
        <w:rPr>
          <w:rStyle w:val="Referinnotdesubsol"/>
        </w:rPr>
        <w:footnoteRef/>
      </w:r>
      <w:r>
        <w:tab/>
        <w:t>Asistență tehnică și/sau administrativă și cheltuieli de sprijin pentru punerea în aplicare a programelor și/sau a acțiunilor UE (fostele linii „BA”), cercetare indirectă, cercetare directă. Acoperă administrarea acțiunilor desfășurate în cadrul programului Orizont Europa. Costurile ENI sunt stabilite pe baza costului mediu anual care urmează să fie utilizat începând cu 2023 pentru salariile personalului contractual (0,091 EUR), incluzând alte costuri administrative (0,029 EUR) referitoare la clădiri și IT pentru personalul din domeniul cercetării indirecte. Indicarea nevoilor de personal din direcțiile generale ale Comisiei are de asemenea un caracter orientativ și neobligatoriu.</w:t>
      </w:r>
    </w:p>
  </w:footnote>
  <w:footnote w:id="37">
    <w:p w14:paraId="277724DF" w14:textId="77777777" w:rsidR="00887F6C" w:rsidRDefault="00887F6C" w:rsidP="000727A1">
      <w:pPr>
        <w:pStyle w:val="Textnotdesubsol"/>
        <w:rPr>
          <w:szCs w:val="24"/>
        </w:rPr>
      </w:pPr>
      <w:r>
        <w:rPr>
          <w:rStyle w:val="Referinnotdesubsol"/>
        </w:rPr>
        <w:footnoteRef/>
      </w:r>
      <w:r>
        <w:tab/>
        <w:t xml:space="preserve">Asistență tehnică și/sau administrativă și cheltuieli de sprijin pentru punerea în aplicare a programelor și/sau a acțiunilor UE (fostele linii „BA”), cercetare indirectă, cercetare directă. </w:t>
      </w:r>
    </w:p>
  </w:footnote>
  <w:footnote w:id="38">
    <w:p w14:paraId="20CE3650" w14:textId="77777777" w:rsidR="00887F6C" w:rsidRDefault="00887F6C">
      <w:pPr>
        <w:pStyle w:val="Textnotdesubsol"/>
      </w:pPr>
      <w:r>
        <w:rPr>
          <w:rStyle w:val="Referinnotdesubsol"/>
        </w:rPr>
        <w:footnoteRef/>
      </w:r>
      <w:r>
        <w:tab/>
        <w:t>Indicarea nevoilor de personal din direcțiile generale ale Comisiei are de asemenea un caracter orientativ și neobligatoriu.</w:t>
      </w:r>
    </w:p>
  </w:footnote>
  <w:footnote w:id="39">
    <w:p w14:paraId="2206507D" w14:textId="77777777" w:rsidR="00887F6C" w:rsidRDefault="00887F6C" w:rsidP="005374B1">
      <w:pPr>
        <w:pStyle w:val="Textnotdesubsol"/>
        <w:rPr>
          <w:szCs w:val="24"/>
        </w:rPr>
      </w:pPr>
      <w:r>
        <w:rPr>
          <w:rStyle w:val="Referinnotdesubsol"/>
        </w:rPr>
        <w:footnoteRef/>
      </w:r>
      <w:r>
        <w:tab/>
        <w:t xml:space="preserve">AC = agent contractual; AL = agent local; END = expert național detașat; INT = lucrător temporar; JPD = tânăr profesionist în delegații. </w:t>
      </w:r>
    </w:p>
  </w:footnote>
  <w:footnote w:id="40">
    <w:p w14:paraId="674A9271" w14:textId="77777777" w:rsidR="00887F6C" w:rsidRDefault="00887F6C" w:rsidP="005374B1">
      <w:pPr>
        <w:pStyle w:val="Textnotdesubsol"/>
        <w:rPr>
          <w:szCs w:val="24"/>
        </w:rPr>
      </w:pPr>
      <w:r>
        <w:rPr>
          <w:rStyle w:val="Referinnotdesubsol"/>
        </w:rPr>
        <w:footnoteRef/>
      </w:r>
      <w:r>
        <w:tab/>
        <w:t>Subplafonul pentru personal extern acoperit din creditele operaționale (fostele linii „BA”).</w:t>
      </w:r>
    </w:p>
  </w:footnote>
  <w:footnote w:id="41">
    <w:p w14:paraId="32E0DA62" w14:textId="77777777" w:rsidR="00887F6C" w:rsidRDefault="00887F6C" w:rsidP="000727A1">
      <w:pPr>
        <w:pStyle w:val="Textnotdesubsol"/>
        <w:rPr>
          <w:szCs w:val="24"/>
        </w:rPr>
      </w:pPr>
      <w:r>
        <w:rPr>
          <w:rStyle w:val="Referinnotdesubsol"/>
        </w:rPr>
        <w:footnoteRef/>
      </w:r>
      <w:r>
        <w:tab/>
        <w:t>În ceea ce privește resursele proprii tradiționale (taxe vamale, cotizații pentru zahăr), sumele indicate trebuie să fie sume nete, și anume, sume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7BE0" w14:textId="77777777" w:rsidR="00826666" w:rsidRPr="00826666" w:rsidRDefault="00826666" w:rsidP="00826666">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3F16" w14:textId="77777777" w:rsidR="00826666" w:rsidRPr="00826666" w:rsidRDefault="00826666" w:rsidP="00826666">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622F" w14:textId="77777777" w:rsidR="0084511B" w:rsidRPr="0084511B" w:rsidRDefault="0084511B" w:rsidP="00826666">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DE08" w14:textId="77777777" w:rsidR="00826666" w:rsidRPr="00826666" w:rsidRDefault="00826666" w:rsidP="00826666">
    <w:pPr>
      <w:pStyle w:val="Antet"/>
    </w:pPr>
  </w:p>
</w:hdr>
</file>

<file path=word/intelligence2.xml><?xml version="1.0" encoding="utf-8"?>
<int2:intelligence xmlns:int2="http://schemas.microsoft.com/office/intelligence/2020/intelligence" xmlns:oel="http://schemas.microsoft.com/office/2019/extlst">
  <int2:observations>
    <int2:textHash int2:hashCode="AGaemDvpNbeCh6" int2:id="BUgWtAOU">
      <int2:state int2:value="Rejected" int2:type="AugLoop_Text_Critique"/>
    </int2:textHash>
    <int2:textHash int2:hashCode="t3GixRtri38f/M" int2:id="EqcBv6cJ">
      <int2:state int2:value="Rejected" int2:type="AugLoop_Text_Critique"/>
    </int2:textHash>
    <int2:textHash int2:hashCode="HP0TmMROXR7aUB" int2:id="mWcBraz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21E1BC6"/>
    <w:lvl w:ilvl="0">
      <w:start w:val="1"/>
      <w:numFmt w:val="bullet"/>
      <w:pStyle w:val="Listacumarcator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17AC602"/>
    <w:lvl w:ilvl="0">
      <w:start w:val="1"/>
      <w:numFmt w:val="bullet"/>
      <w:pStyle w:val="Listacumarcator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66001C"/>
    <w:lvl w:ilvl="0">
      <w:start w:val="1"/>
      <w:numFmt w:val="bullet"/>
      <w:pStyle w:val="Listacumarcator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0A4AFA6"/>
    <w:lvl w:ilvl="0">
      <w:start w:val="1"/>
      <w:numFmt w:val="bullet"/>
      <w:pStyle w:val="Listcumarcatori"/>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hint="default"/>
      </w:rPr>
    </w:lvl>
  </w:abstractNum>
  <w:abstractNum w:abstractNumId="13"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Titlu1"/>
      <w:lvlText w:val="%1."/>
      <w:lvlJc w:val="left"/>
      <w:pPr>
        <w:tabs>
          <w:tab w:val="num" w:pos="850"/>
        </w:tabs>
        <w:ind w:left="850" w:hanging="850"/>
      </w:pPr>
    </w:lvl>
    <w:lvl w:ilvl="1">
      <w:start w:val="1"/>
      <w:numFmt w:val="decimal"/>
      <w:pStyle w:val="Titlu2"/>
      <w:lvlText w:val="%1.%2."/>
      <w:lvlJc w:val="left"/>
      <w:pPr>
        <w:tabs>
          <w:tab w:val="num" w:pos="850"/>
        </w:tabs>
        <w:ind w:left="850" w:hanging="850"/>
      </w:pPr>
    </w:lvl>
    <w:lvl w:ilvl="2">
      <w:start w:val="1"/>
      <w:numFmt w:val="decimal"/>
      <w:pStyle w:val="Titlu3"/>
      <w:lvlText w:val="%1.%2.%3."/>
      <w:lvlJc w:val="left"/>
      <w:pPr>
        <w:tabs>
          <w:tab w:val="num" w:pos="850"/>
        </w:tabs>
        <w:ind w:left="850" w:hanging="850"/>
      </w:pPr>
    </w:lvl>
    <w:lvl w:ilvl="3">
      <w:start w:val="1"/>
      <w:numFmt w:val="decimal"/>
      <w:pStyle w:val="Titlu4"/>
      <w:lvlText w:val="%1.%2.%3.%4."/>
      <w:lvlJc w:val="left"/>
      <w:pPr>
        <w:tabs>
          <w:tab w:val="num" w:pos="850"/>
        </w:tabs>
        <w:ind w:left="850" w:hanging="850"/>
      </w:pPr>
    </w:lvl>
    <w:lvl w:ilvl="4">
      <w:start w:val="1"/>
      <w:numFmt w:val="decimal"/>
      <w:pStyle w:val="Titlu5"/>
      <w:lvlText w:val="%1.%2.%3.%4.%5."/>
      <w:lvlJc w:val="left"/>
      <w:pPr>
        <w:tabs>
          <w:tab w:val="num" w:pos="1417"/>
        </w:tabs>
        <w:ind w:left="1417" w:hanging="1417"/>
      </w:pPr>
    </w:lvl>
    <w:lvl w:ilvl="5">
      <w:start w:val="1"/>
      <w:numFmt w:val="decimal"/>
      <w:pStyle w:val="Titlu6"/>
      <w:lvlText w:val="%1.%2.%3.%4.%5.%6."/>
      <w:lvlJc w:val="left"/>
      <w:pPr>
        <w:tabs>
          <w:tab w:val="num" w:pos="1417"/>
        </w:tabs>
        <w:ind w:left="1417" w:hanging="1417"/>
      </w:pPr>
    </w:lvl>
    <w:lvl w:ilvl="6">
      <w:start w:val="1"/>
      <w:numFmt w:val="decimal"/>
      <w:pStyle w:val="Titlu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1F06166"/>
    <w:multiLevelType w:val="multilevel"/>
    <w:tmpl w:val="C08066D2"/>
    <w:name w:val="0.6719891"/>
    <w:lvl w:ilvl="0">
      <w:start w:val="1"/>
      <w:numFmt w:val="decimal"/>
      <w:lvlRestart w:val="0"/>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09718692">
    <w:abstractNumId w:val="21"/>
    <w:lvlOverride w:ilvl="0">
      <w:startOverride w:val="1"/>
    </w:lvlOverride>
  </w:num>
  <w:num w:numId="2" w16cid:durableId="381682548">
    <w:abstractNumId w:val="3"/>
  </w:num>
  <w:num w:numId="3" w16cid:durableId="1511409481">
    <w:abstractNumId w:val="2"/>
  </w:num>
  <w:num w:numId="4" w16cid:durableId="379331954">
    <w:abstractNumId w:val="1"/>
  </w:num>
  <w:num w:numId="5" w16cid:durableId="705326030">
    <w:abstractNumId w:val="0"/>
  </w:num>
  <w:num w:numId="6" w16cid:durableId="1403337496">
    <w:abstractNumId w:val="18"/>
  </w:num>
  <w:num w:numId="7" w16cid:durableId="824396704">
    <w:abstractNumId w:val="13"/>
  </w:num>
  <w:num w:numId="8" w16cid:durableId="567153789">
    <w:abstractNumId w:val="12"/>
  </w:num>
  <w:num w:numId="9" w16cid:durableId="972294134">
    <w:abstractNumId w:val="20"/>
  </w:num>
  <w:num w:numId="10" w16cid:durableId="1770467865">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27189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1818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273745">
    <w:abstractNumId w:val="17"/>
  </w:num>
  <w:num w:numId="14" w16cid:durableId="570582799">
    <w:abstractNumId w:val="8"/>
  </w:num>
  <w:num w:numId="15" w16cid:durableId="455417899">
    <w:abstractNumId w:val="19"/>
  </w:num>
  <w:num w:numId="16" w16cid:durableId="611014661">
    <w:abstractNumId w:val="7"/>
  </w:num>
  <w:num w:numId="17" w16cid:durableId="103381255">
    <w:abstractNumId w:val="9"/>
  </w:num>
  <w:num w:numId="18" w16cid:durableId="1316958870">
    <w:abstractNumId w:val="10"/>
  </w:num>
  <w:num w:numId="19" w16cid:durableId="462114090">
    <w:abstractNumId w:val="5"/>
  </w:num>
  <w:num w:numId="20" w16cid:durableId="1523350199">
    <w:abstractNumId w:val="18"/>
  </w:num>
  <w:num w:numId="21" w16cid:durableId="800686066">
    <w:abstractNumId w:val="4"/>
  </w:num>
  <w:num w:numId="22" w16cid:durableId="1333339377">
    <w:abstractNumId w:val="11"/>
  </w:num>
  <w:num w:numId="23" w16cid:durableId="1361321076">
    <w:abstractNumId w:val="15"/>
  </w:num>
  <w:num w:numId="24" w16cid:durableId="1440683571">
    <w:abstractNumId w:val="16"/>
  </w:num>
  <w:num w:numId="25" w16cid:durableId="1289358616">
    <w:abstractNumId w:val="6"/>
  </w:num>
  <w:num w:numId="26" w16cid:durableId="700399911">
    <w:abstractNumId w:val="14"/>
  </w:num>
  <w:num w:numId="27" w16cid:durableId="1503155036">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3-07-17 14:20:41"/>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06072C3-9032-4EB3-A246-624CF728C556"/>
    <w:docVar w:name="LW_COVERPAGE_TYPE" w:val="1"/>
    <w:docVar w:name="LW_CROSSREFERENCE" w:val="&lt;UNUSED&gt;"/>
    <w:docVar w:name="LW_DocType" w:val="COM"/>
    <w:docVar w:name="LW_EMISSION" w:val="28.6.2023"/>
    <w:docVar w:name="LW_EMISSION_ISODATE" w:val="2023-06-28"/>
    <w:docVar w:name="LW_EMISSION_LOCATION" w:val="BRX"/>
    <w:docVar w:name="LW_EMISSION_PREFIX" w:val="Bruxelles, "/>
    <w:docVar w:name="LW_EMISSION_SUFFIX" w:val=" "/>
    <w:docVar w:name="LW_ID_DOCMODEL" w:val="SJ-025"/>
    <w:docVar w:name="LW_ID_DOCSIGNATURE" w:val="SJ-025"/>
    <w:docVar w:name="LW_ID_DOCSTRUCTURE" w:val="COM/PL/ORG"/>
    <w:docVar w:name="LW_ID_DOCTYPE" w:val="SJ-025"/>
    <w:docVar w:name="LW_ID_STATUT" w:val="SJ-025"/>
    <w:docVar w:name="LW_INSERT_EXP.MOTIFS.NEW" w:val="1"/>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207"/>
    <w:docVar w:name="LW_REF.II.NEW.CP_YEAR" w:val="2023"/>
    <w:docVar w:name="LW_REF.INST.NEW" w:val="COM"/>
    <w:docVar w:name="LW_REF.INST.NEW_ADOPTED" w:val="final"/>
    <w:docVar w:name="LW_REF.INST.NEW_TEXT" w:val="(2023) 359"/>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de modificare a Deciziei (UE) 2017/1324 în ceea ce privește continuarea participării Uniunii la Parteneriatul în domeniul cercetării și inovării în zona mediteraneeană (PRIMA) în cadrul programului Orizont Europa"/>
    <w:docVar w:name="LW_TYPE.DOC.CP" w:val="DECIZIE A PARLAMENTULUI EUROPEAN ȘI A CONSILIULUI"/>
    <w:docVar w:name="LwApiVersions" w:val="LW4CoDe 1.23.2.0; LW 8.0, Build 20211117"/>
  </w:docVars>
  <w:rsids>
    <w:rsidRoot w:val="00C26153"/>
    <w:rsid w:val="00000CFB"/>
    <w:rsid w:val="00001587"/>
    <w:rsid w:val="00014095"/>
    <w:rsid w:val="00020E05"/>
    <w:rsid w:val="0002615C"/>
    <w:rsid w:val="00027CB1"/>
    <w:rsid w:val="00037346"/>
    <w:rsid w:val="000374E5"/>
    <w:rsid w:val="000403F1"/>
    <w:rsid w:val="000524E0"/>
    <w:rsid w:val="00053EBE"/>
    <w:rsid w:val="0005477A"/>
    <w:rsid w:val="000554A8"/>
    <w:rsid w:val="00057600"/>
    <w:rsid w:val="00063A5A"/>
    <w:rsid w:val="00065923"/>
    <w:rsid w:val="000725C4"/>
    <w:rsid w:val="000727A1"/>
    <w:rsid w:val="000743BC"/>
    <w:rsid w:val="000810CD"/>
    <w:rsid w:val="0009411D"/>
    <w:rsid w:val="0009541B"/>
    <w:rsid w:val="000A1BAB"/>
    <w:rsid w:val="000A2B49"/>
    <w:rsid w:val="000A39E7"/>
    <w:rsid w:val="000A5AE7"/>
    <w:rsid w:val="000C0A8F"/>
    <w:rsid w:val="000C39B9"/>
    <w:rsid w:val="000C6447"/>
    <w:rsid w:val="000D2BD5"/>
    <w:rsid w:val="000D5747"/>
    <w:rsid w:val="000E4D41"/>
    <w:rsid w:val="000E536A"/>
    <w:rsid w:val="000EC442"/>
    <w:rsid w:val="000F1ABD"/>
    <w:rsid w:val="000F6D1D"/>
    <w:rsid w:val="000F7A5B"/>
    <w:rsid w:val="00103BF9"/>
    <w:rsid w:val="001065F5"/>
    <w:rsid w:val="001127CE"/>
    <w:rsid w:val="00113AD2"/>
    <w:rsid w:val="00117673"/>
    <w:rsid w:val="001238EF"/>
    <w:rsid w:val="00123991"/>
    <w:rsid w:val="001267B3"/>
    <w:rsid w:val="00126AE2"/>
    <w:rsid w:val="00130A5B"/>
    <w:rsid w:val="00133812"/>
    <w:rsid w:val="00135269"/>
    <w:rsid w:val="00142758"/>
    <w:rsid w:val="00143376"/>
    <w:rsid w:val="00151512"/>
    <w:rsid w:val="00152DD0"/>
    <w:rsid w:val="00152F54"/>
    <w:rsid w:val="0015456F"/>
    <w:rsid w:val="00155AF6"/>
    <w:rsid w:val="00162CE2"/>
    <w:rsid w:val="00170786"/>
    <w:rsid w:val="001714CC"/>
    <w:rsid w:val="00172FF2"/>
    <w:rsid w:val="0017305D"/>
    <w:rsid w:val="00181322"/>
    <w:rsid w:val="00182182"/>
    <w:rsid w:val="001869D8"/>
    <w:rsid w:val="00192F1F"/>
    <w:rsid w:val="00197613"/>
    <w:rsid w:val="001A0BB6"/>
    <w:rsid w:val="001A0EFF"/>
    <w:rsid w:val="001A1F74"/>
    <w:rsid w:val="001A26CF"/>
    <w:rsid w:val="001A5FDC"/>
    <w:rsid w:val="001A7B70"/>
    <w:rsid w:val="001C0AE6"/>
    <w:rsid w:val="001C0C9C"/>
    <w:rsid w:val="001C3D74"/>
    <w:rsid w:val="001C4CFB"/>
    <w:rsid w:val="001C6FD2"/>
    <w:rsid w:val="001E09B7"/>
    <w:rsid w:val="001E78D8"/>
    <w:rsid w:val="001F00D7"/>
    <w:rsid w:val="001F0316"/>
    <w:rsid w:val="001F59FD"/>
    <w:rsid w:val="001F7BF0"/>
    <w:rsid w:val="00207127"/>
    <w:rsid w:val="00210630"/>
    <w:rsid w:val="0021791F"/>
    <w:rsid w:val="0022653A"/>
    <w:rsid w:val="002271F2"/>
    <w:rsid w:val="00231D0B"/>
    <w:rsid w:val="00233DC7"/>
    <w:rsid w:val="0024042B"/>
    <w:rsid w:val="00247779"/>
    <w:rsid w:val="002502D6"/>
    <w:rsid w:val="00250C2D"/>
    <w:rsid w:val="0025161B"/>
    <w:rsid w:val="00252C39"/>
    <w:rsid w:val="00254669"/>
    <w:rsid w:val="002576F9"/>
    <w:rsid w:val="0026149B"/>
    <w:rsid w:val="002630CB"/>
    <w:rsid w:val="00264CE9"/>
    <w:rsid w:val="0027020C"/>
    <w:rsid w:val="00275159"/>
    <w:rsid w:val="00276983"/>
    <w:rsid w:val="002778DB"/>
    <w:rsid w:val="00280E23"/>
    <w:rsid w:val="00285BEE"/>
    <w:rsid w:val="00287CF8"/>
    <w:rsid w:val="0029533F"/>
    <w:rsid w:val="002A2DF9"/>
    <w:rsid w:val="002A3520"/>
    <w:rsid w:val="002B30AF"/>
    <w:rsid w:val="002B58C3"/>
    <w:rsid w:val="002B593C"/>
    <w:rsid w:val="002B7BE9"/>
    <w:rsid w:val="002D2F9E"/>
    <w:rsid w:val="002D323D"/>
    <w:rsid w:val="002D4374"/>
    <w:rsid w:val="002F2E81"/>
    <w:rsid w:val="002F4A66"/>
    <w:rsid w:val="002F5655"/>
    <w:rsid w:val="003039D8"/>
    <w:rsid w:val="0030494B"/>
    <w:rsid w:val="00304E30"/>
    <w:rsid w:val="00307632"/>
    <w:rsid w:val="00311A59"/>
    <w:rsid w:val="00312A0F"/>
    <w:rsid w:val="00315602"/>
    <w:rsid w:val="003215C5"/>
    <w:rsid w:val="003259C0"/>
    <w:rsid w:val="00325CE4"/>
    <w:rsid w:val="0032785C"/>
    <w:rsid w:val="003319E8"/>
    <w:rsid w:val="0033344A"/>
    <w:rsid w:val="00335275"/>
    <w:rsid w:val="00335FFC"/>
    <w:rsid w:val="003400CC"/>
    <w:rsid w:val="0035061F"/>
    <w:rsid w:val="003901AB"/>
    <w:rsid w:val="00391C75"/>
    <w:rsid w:val="003940AB"/>
    <w:rsid w:val="003943EB"/>
    <w:rsid w:val="00397173"/>
    <w:rsid w:val="00397EFD"/>
    <w:rsid w:val="003A047A"/>
    <w:rsid w:val="003A199E"/>
    <w:rsid w:val="003A3B4C"/>
    <w:rsid w:val="003A5E3B"/>
    <w:rsid w:val="003A6433"/>
    <w:rsid w:val="003B1C8F"/>
    <w:rsid w:val="003B2159"/>
    <w:rsid w:val="003C43CE"/>
    <w:rsid w:val="003C6554"/>
    <w:rsid w:val="003D163D"/>
    <w:rsid w:val="003D74AD"/>
    <w:rsid w:val="003E5D62"/>
    <w:rsid w:val="003E62DE"/>
    <w:rsid w:val="003E6EC0"/>
    <w:rsid w:val="003F2362"/>
    <w:rsid w:val="003F28BD"/>
    <w:rsid w:val="003F3902"/>
    <w:rsid w:val="00406C42"/>
    <w:rsid w:val="00407A51"/>
    <w:rsid w:val="0040AE30"/>
    <w:rsid w:val="00412277"/>
    <w:rsid w:val="00412CF5"/>
    <w:rsid w:val="004146E1"/>
    <w:rsid w:val="00416425"/>
    <w:rsid w:val="00420D62"/>
    <w:rsid w:val="0042156E"/>
    <w:rsid w:val="0042410F"/>
    <w:rsid w:val="0042648E"/>
    <w:rsid w:val="004327CC"/>
    <w:rsid w:val="00441AB2"/>
    <w:rsid w:val="004422DD"/>
    <w:rsid w:val="004426A2"/>
    <w:rsid w:val="004432B5"/>
    <w:rsid w:val="00443700"/>
    <w:rsid w:val="00443A8C"/>
    <w:rsid w:val="0044713B"/>
    <w:rsid w:val="00454D8A"/>
    <w:rsid w:val="00455335"/>
    <w:rsid w:val="00457B65"/>
    <w:rsid w:val="004616AD"/>
    <w:rsid w:val="00470575"/>
    <w:rsid w:val="00471270"/>
    <w:rsid w:val="004777D0"/>
    <w:rsid w:val="004813A3"/>
    <w:rsid w:val="004831E6"/>
    <w:rsid w:val="00492AE5"/>
    <w:rsid w:val="004936D2"/>
    <w:rsid w:val="00493FDE"/>
    <w:rsid w:val="00494F44"/>
    <w:rsid w:val="004A4078"/>
    <w:rsid w:val="004A6F7C"/>
    <w:rsid w:val="004B3BDF"/>
    <w:rsid w:val="004B3BEC"/>
    <w:rsid w:val="004C2877"/>
    <w:rsid w:val="004C47A9"/>
    <w:rsid w:val="004D782C"/>
    <w:rsid w:val="004E0116"/>
    <w:rsid w:val="004E376B"/>
    <w:rsid w:val="004E6E2C"/>
    <w:rsid w:val="004F5060"/>
    <w:rsid w:val="004F546E"/>
    <w:rsid w:val="004F74DA"/>
    <w:rsid w:val="00500ABE"/>
    <w:rsid w:val="0051063B"/>
    <w:rsid w:val="00510789"/>
    <w:rsid w:val="00513E27"/>
    <w:rsid w:val="005144FA"/>
    <w:rsid w:val="005151DC"/>
    <w:rsid w:val="00520885"/>
    <w:rsid w:val="0052514B"/>
    <w:rsid w:val="00531EC5"/>
    <w:rsid w:val="00533706"/>
    <w:rsid w:val="00534866"/>
    <w:rsid w:val="005374B1"/>
    <w:rsid w:val="00541369"/>
    <w:rsid w:val="00541D89"/>
    <w:rsid w:val="00542A2B"/>
    <w:rsid w:val="0054301A"/>
    <w:rsid w:val="005460DC"/>
    <w:rsid w:val="005607B9"/>
    <w:rsid w:val="00564D98"/>
    <w:rsid w:val="005662DE"/>
    <w:rsid w:val="00567078"/>
    <w:rsid w:val="00583D0F"/>
    <w:rsid w:val="00594868"/>
    <w:rsid w:val="005A0853"/>
    <w:rsid w:val="005A0BF3"/>
    <w:rsid w:val="005A75F3"/>
    <w:rsid w:val="005B12BE"/>
    <w:rsid w:val="005B1A8B"/>
    <w:rsid w:val="005B1EB6"/>
    <w:rsid w:val="005B42C0"/>
    <w:rsid w:val="005B58BE"/>
    <w:rsid w:val="005C0EBA"/>
    <w:rsid w:val="005C2828"/>
    <w:rsid w:val="005C72D1"/>
    <w:rsid w:val="005D1B98"/>
    <w:rsid w:val="005D230E"/>
    <w:rsid w:val="005D2F77"/>
    <w:rsid w:val="005D3509"/>
    <w:rsid w:val="005E1414"/>
    <w:rsid w:val="005E2C79"/>
    <w:rsid w:val="005E4092"/>
    <w:rsid w:val="005F0BB9"/>
    <w:rsid w:val="005F1CB1"/>
    <w:rsid w:val="005F36AF"/>
    <w:rsid w:val="006003FA"/>
    <w:rsid w:val="006012A4"/>
    <w:rsid w:val="00603A44"/>
    <w:rsid w:val="006105D0"/>
    <w:rsid w:val="00610794"/>
    <w:rsid w:val="00613A3D"/>
    <w:rsid w:val="00620A12"/>
    <w:rsid w:val="00620F3A"/>
    <w:rsid w:val="00624552"/>
    <w:rsid w:val="00633425"/>
    <w:rsid w:val="00634510"/>
    <w:rsid w:val="00655CFB"/>
    <w:rsid w:val="0066336F"/>
    <w:rsid w:val="00666F44"/>
    <w:rsid w:val="00667D33"/>
    <w:rsid w:val="00677655"/>
    <w:rsid w:val="006808DB"/>
    <w:rsid w:val="00682664"/>
    <w:rsid w:val="00684CA1"/>
    <w:rsid w:val="00685B7A"/>
    <w:rsid w:val="0068762E"/>
    <w:rsid w:val="0069093F"/>
    <w:rsid w:val="006917CD"/>
    <w:rsid w:val="00691FE9"/>
    <w:rsid w:val="00693BD8"/>
    <w:rsid w:val="00694C21"/>
    <w:rsid w:val="006A3363"/>
    <w:rsid w:val="006B2985"/>
    <w:rsid w:val="006B641F"/>
    <w:rsid w:val="006B7EB4"/>
    <w:rsid w:val="006C1A45"/>
    <w:rsid w:val="006C2B97"/>
    <w:rsid w:val="006C3FCF"/>
    <w:rsid w:val="006C5272"/>
    <w:rsid w:val="006D3CFE"/>
    <w:rsid w:val="006E2FDA"/>
    <w:rsid w:val="006E5C9B"/>
    <w:rsid w:val="006F44ED"/>
    <w:rsid w:val="006F4A0C"/>
    <w:rsid w:val="006F4BA9"/>
    <w:rsid w:val="006F61A5"/>
    <w:rsid w:val="007010A9"/>
    <w:rsid w:val="00702426"/>
    <w:rsid w:val="00702D6D"/>
    <w:rsid w:val="00702EED"/>
    <w:rsid w:val="00705D95"/>
    <w:rsid w:val="007062D4"/>
    <w:rsid w:val="00706891"/>
    <w:rsid w:val="00707AE4"/>
    <w:rsid w:val="00712CFB"/>
    <w:rsid w:val="00715129"/>
    <w:rsid w:val="0071533D"/>
    <w:rsid w:val="00716C7C"/>
    <w:rsid w:val="00720B8F"/>
    <w:rsid w:val="007212FD"/>
    <w:rsid w:val="00722309"/>
    <w:rsid w:val="0073110C"/>
    <w:rsid w:val="00734D04"/>
    <w:rsid w:val="00735481"/>
    <w:rsid w:val="0073610A"/>
    <w:rsid w:val="00737468"/>
    <w:rsid w:val="00741956"/>
    <w:rsid w:val="0074282B"/>
    <w:rsid w:val="007552BE"/>
    <w:rsid w:val="007618F3"/>
    <w:rsid w:val="0076238B"/>
    <w:rsid w:val="00766AC0"/>
    <w:rsid w:val="00771090"/>
    <w:rsid w:val="00773331"/>
    <w:rsid w:val="00774E06"/>
    <w:rsid w:val="00780443"/>
    <w:rsid w:val="00781AF8"/>
    <w:rsid w:val="0078308D"/>
    <w:rsid w:val="0079307D"/>
    <w:rsid w:val="007932EF"/>
    <w:rsid w:val="00794579"/>
    <w:rsid w:val="007A044E"/>
    <w:rsid w:val="007A26FA"/>
    <w:rsid w:val="007A56BE"/>
    <w:rsid w:val="007B20D0"/>
    <w:rsid w:val="007B3686"/>
    <w:rsid w:val="007C475D"/>
    <w:rsid w:val="007C55E3"/>
    <w:rsid w:val="007D059B"/>
    <w:rsid w:val="007D399C"/>
    <w:rsid w:val="007D722E"/>
    <w:rsid w:val="007D7441"/>
    <w:rsid w:val="007E04F9"/>
    <w:rsid w:val="007E05B0"/>
    <w:rsid w:val="007E670C"/>
    <w:rsid w:val="007E67C1"/>
    <w:rsid w:val="007E74E1"/>
    <w:rsid w:val="008177F7"/>
    <w:rsid w:val="008203C9"/>
    <w:rsid w:val="008209F4"/>
    <w:rsid w:val="00823A2F"/>
    <w:rsid w:val="00823DF6"/>
    <w:rsid w:val="00824B4D"/>
    <w:rsid w:val="00826666"/>
    <w:rsid w:val="00833CDC"/>
    <w:rsid w:val="00842C5F"/>
    <w:rsid w:val="00843FA6"/>
    <w:rsid w:val="008447F9"/>
    <w:rsid w:val="00845097"/>
    <w:rsid w:val="0084511B"/>
    <w:rsid w:val="00850CD8"/>
    <w:rsid w:val="008517CC"/>
    <w:rsid w:val="00855DBA"/>
    <w:rsid w:val="00867EAF"/>
    <w:rsid w:val="0087361E"/>
    <w:rsid w:val="00874D00"/>
    <w:rsid w:val="00874D22"/>
    <w:rsid w:val="008752E3"/>
    <w:rsid w:val="00877A64"/>
    <w:rsid w:val="00877FAF"/>
    <w:rsid w:val="00881D07"/>
    <w:rsid w:val="008838A3"/>
    <w:rsid w:val="00887F6C"/>
    <w:rsid w:val="00890299"/>
    <w:rsid w:val="0089504B"/>
    <w:rsid w:val="008A2914"/>
    <w:rsid w:val="008A3448"/>
    <w:rsid w:val="008A47BE"/>
    <w:rsid w:val="008A63D4"/>
    <w:rsid w:val="008B2AA2"/>
    <w:rsid w:val="008B4A54"/>
    <w:rsid w:val="008B617A"/>
    <w:rsid w:val="008C0874"/>
    <w:rsid w:val="008C3477"/>
    <w:rsid w:val="008C74BF"/>
    <w:rsid w:val="008D7000"/>
    <w:rsid w:val="008D7558"/>
    <w:rsid w:val="008E06F4"/>
    <w:rsid w:val="008E2FEE"/>
    <w:rsid w:val="008E3570"/>
    <w:rsid w:val="008E3D92"/>
    <w:rsid w:val="008E4D8E"/>
    <w:rsid w:val="008E799C"/>
    <w:rsid w:val="008E7CB3"/>
    <w:rsid w:val="008F07C8"/>
    <w:rsid w:val="008F1CAA"/>
    <w:rsid w:val="008F304E"/>
    <w:rsid w:val="008F4E21"/>
    <w:rsid w:val="008F548C"/>
    <w:rsid w:val="00902512"/>
    <w:rsid w:val="009077F0"/>
    <w:rsid w:val="0090D6B8"/>
    <w:rsid w:val="00914F03"/>
    <w:rsid w:val="0092194B"/>
    <w:rsid w:val="00942167"/>
    <w:rsid w:val="00942AC6"/>
    <w:rsid w:val="00942F56"/>
    <w:rsid w:val="0094425B"/>
    <w:rsid w:val="0095281F"/>
    <w:rsid w:val="00957F42"/>
    <w:rsid w:val="009601B2"/>
    <w:rsid w:val="00960464"/>
    <w:rsid w:val="00962B68"/>
    <w:rsid w:val="00965052"/>
    <w:rsid w:val="00980CD0"/>
    <w:rsid w:val="00982F4F"/>
    <w:rsid w:val="009867AC"/>
    <w:rsid w:val="009A025D"/>
    <w:rsid w:val="009A35CA"/>
    <w:rsid w:val="009A6553"/>
    <w:rsid w:val="009B0513"/>
    <w:rsid w:val="009B470E"/>
    <w:rsid w:val="009B644F"/>
    <w:rsid w:val="009C3882"/>
    <w:rsid w:val="009C51EE"/>
    <w:rsid w:val="009C7A6D"/>
    <w:rsid w:val="009D1CF9"/>
    <w:rsid w:val="009D30F9"/>
    <w:rsid w:val="009D3962"/>
    <w:rsid w:val="009DED0F"/>
    <w:rsid w:val="009E036C"/>
    <w:rsid w:val="009E119C"/>
    <w:rsid w:val="009E21A5"/>
    <w:rsid w:val="009E284E"/>
    <w:rsid w:val="00A01633"/>
    <w:rsid w:val="00A01AE5"/>
    <w:rsid w:val="00A0550D"/>
    <w:rsid w:val="00A11FAC"/>
    <w:rsid w:val="00A11FDC"/>
    <w:rsid w:val="00A12D86"/>
    <w:rsid w:val="00A12E18"/>
    <w:rsid w:val="00A1382F"/>
    <w:rsid w:val="00A15D3F"/>
    <w:rsid w:val="00A17413"/>
    <w:rsid w:val="00A2275C"/>
    <w:rsid w:val="00A22E5D"/>
    <w:rsid w:val="00A22F29"/>
    <w:rsid w:val="00A24E3D"/>
    <w:rsid w:val="00A27755"/>
    <w:rsid w:val="00A27FFD"/>
    <w:rsid w:val="00A328A2"/>
    <w:rsid w:val="00A35AA1"/>
    <w:rsid w:val="00A372C3"/>
    <w:rsid w:val="00A4390C"/>
    <w:rsid w:val="00A45E78"/>
    <w:rsid w:val="00A46358"/>
    <w:rsid w:val="00A47F39"/>
    <w:rsid w:val="00A53BC9"/>
    <w:rsid w:val="00A54ABF"/>
    <w:rsid w:val="00A570E3"/>
    <w:rsid w:val="00A62E15"/>
    <w:rsid w:val="00A8164B"/>
    <w:rsid w:val="00A843F8"/>
    <w:rsid w:val="00A85EE3"/>
    <w:rsid w:val="00A87D56"/>
    <w:rsid w:val="00A87E21"/>
    <w:rsid w:val="00A92FC2"/>
    <w:rsid w:val="00A97779"/>
    <w:rsid w:val="00AA0E11"/>
    <w:rsid w:val="00AA434A"/>
    <w:rsid w:val="00AA589F"/>
    <w:rsid w:val="00AB307C"/>
    <w:rsid w:val="00AB499E"/>
    <w:rsid w:val="00AC3A19"/>
    <w:rsid w:val="00AC4266"/>
    <w:rsid w:val="00AD11C1"/>
    <w:rsid w:val="00AD3859"/>
    <w:rsid w:val="00AD4388"/>
    <w:rsid w:val="00AD454E"/>
    <w:rsid w:val="00AD7795"/>
    <w:rsid w:val="00AE249C"/>
    <w:rsid w:val="00AE5835"/>
    <w:rsid w:val="00AE60C1"/>
    <w:rsid w:val="00AE7CBB"/>
    <w:rsid w:val="00AF00C3"/>
    <w:rsid w:val="00AF1AC2"/>
    <w:rsid w:val="00AF705F"/>
    <w:rsid w:val="00AF7903"/>
    <w:rsid w:val="00B03E62"/>
    <w:rsid w:val="00B058BB"/>
    <w:rsid w:val="00B05ACE"/>
    <w:rsid w:val="00B102BF"/>
    <w:rsid w:val="00B13CCC"/>
    <w:rsid w:val="00B20440"/>
    <w:rsid w:val="00B265D3"/>
    <w:rsid w:val="00B26FD1"/>
    <w:rsid w:val="00B33E16"/>
    <w:rsid w:val="00B40F7D"/>
    <w:rsid w:val="00B42CD2"/>
    <w:rsid w:val="00B4426A"/>
    <w:rsid w:val="00B50783"/>
    <w:rsid w:val="00B519D0"/>
    <w:rsid w:val="00B52A7B"/>
    <w:rsid w:val="00B52EB2"/>
    <w:rsid w:val="00B55E00"/>
    <w:rsid w:val="00B879EF"/>
    <w:rsid w:val="00B916AE"/>
    <w:rsid w:val="00B92D84"/>
    <w:rsid w:val="00B9418A"/>
    <w:rsid w:val="00B94B61"/>
    <w:rsid w:val="00B965E2"/>
    <w:rsid w:val="00BA16C9"/>
    <w:rsid w:val="00BA372D"/>
    <w:rsid w:val="00BA40C0"/>
    <w:rsid w:val="00BB6B7D"/>
    <w:rsid w:val="00BB7295"/>
    <w:rsid w:val="00BC3C0B"/>
    <w:rsid w:val="00BD4142"/>
    <w:rsid w:val="00BD5A0C"/>
    <w:rsid w:val="00BE27C7"/>
    <w:rsid w:val="00BE3573"/>
    <w:rsid w:val="00BE3B5C"/>
    <w:rsid w:val="00BE693C"/>
    <w:rsid w:val="00BF3125"/>
    <w:rsid w:val="00BF3CAD"/>
    <w:rsid w:val="00BF4494"/>
    <w:rsid w:val="00C0243A"/>
    <w:rsid w:val="00C02CEF"/>
    <w:rsid w:val="00C10316"/>
    <w:rsid w:val="00C1060C"/>
    <w:rsid w:val="00C10DE7"/>
    <w:rsid w:val="00C12301"/>
    <w:rsid w:val="00C12640"/>
    <w:rsid w:val="00C13288"/>
    <w:rsid w:val="00C13C91"/>
    <w:rsid w:val="00C1795E"/>
    <w:rsid w:val="00C20288"/>
    <w:rsid w:val="00C20402"/>
    <w:rsid w:val="00C26153"/>
    <w:rsid w:val="00C4009B"/>
    <w:rsid w:val="00C423CC"/>
    <w:rsid w:val="00C442E9"/>
    <w:rsid w:val="00C46667"/>
    <w:rsid w:val="00C52DEB"/>
    <w:rsid w:val="00C57E0C"/>
    <w:rsid w:val="00C60C7B"/>
    <w:rsid w:val="00C67490"/>
    <w:rsid w:val="00C72793"/>
    <w:rsid w:val="00C73AAA"/>
    <w:rsid w:val="00C756E2"/>
    <w:rsid w:val="00C77A21"/>
    <w:rsid w:val="00C87025"/>
    <w:rsid w:val="00C9196A"/>
    <w:rsid w:val="00C91B81"/>
    <w:rsid w:val="00C94698"/>
    <w:rsid w:val="00C953C6"/>
    <w:rsid w:val="00C964BD"/>
    <w:rsid w:val="00CA19CA"/>
    <w:rsid w:val="00CA3E00"/>
    <w:rsid w:val="00CA6389"/>
    <w:rsid w:val="00CB2BE5"/>
    <w:rsid w:val="00CB32EC"/>
    <w:rsid w:val="00CB37EC"/>
    <w:rsid w:val="00CC2B0E"/>
    <w:rsid w:val="00CC35DA"/>
    <w:rsid w:val="00CC5969"/>
    <w:rsid w:val="00CC5DBD"/>
    <w:rsid w:val="00CC6C00"/>
    <w:rsid w:val="00CD1BF9"/>
    <w:rsid w:val="00CD3D6E"/>
    <w:rsid w:val="00CE579B"/>
    <w:rsid w:val="00CE6723"/>
    <w:rsid w:val="00CE7A83"/>
    <w:rsid w:val="00CF3F19"/>
    <w:rsid w:val="00CF6258"/>
    <w:rsid w:val="00D00462"/>
    <w:rsid w:val="00D032FC"/>
    <w:rsid w:val="00D0502D"/>
    <w:rsid w:val="00D07BBC"/>
    <w:rsid w:val="00D172D4"/>
    <w:rsid w:val="00D20381"/>
    <w:rsid w:val="00D21A7F"/>
    <w:rsid w:val="00D24C36"/>
    <w:rsid w:val="00D33AEF"/>
    <w:rsid w:val="00D36FAB"/>
    <w:rsid w:val="00D509CB"/>
    <w:rsid w:val="00D552FA"/>
    <w:rsid w:val="00D6006A"/>
    <w:rsid w:val="00D61938"/>
    <w:rsid w:val="00D62080"/>
    <w:rsid w:val="00D62AEE"/>
    <w:rsid w:val="00D64878"/>
    <w:rsid w:val="00D65975"/>
    <w:rsid w:val="00D670BA"/>
    <w:rsid w:val="00D7087A"/>
    <w:rsid w:val="00D73CC0"/>
    <w:rsid w:val="00D74110"/>
    <w:rsid w:val="00D76224"/>
    <w:rsid w:val="00D80B5C"/>
    <w:rsid w:val="00D81B33"/>
    <w:rsid w:val="00D950F4"/>
    <w:rsid w:val="00DA390F"/>
    <w:rsid w:val="00DA6C99"/>
    <w:rsid w:val="00DB422A"/>
    <w:rsid w:val="00DB6E7E"/>
    <w:rsid w:val="00DC44CB"/>
    <w:rsid w:val="00DD05C9"/>
    <w:rsid w:val="00DD2AD4"/>
    <w:rsid w:val="00DD3A4B"/>
    <w:rsid w:val="00DD3E78"/>
    <w:rsid w:val="00DD4532"/>
    <w:rsid w:val="00DD471D"/>
    <w:rsid w:val="00DD7483"/>
    <w:rsid w:val="00DD7EC3"/>
    <w:rsid w:val="00DE154D"/>
    <w:rsid w:val="00DE2935"/>
    <w:rsid w:val="00DE2B5B"/>
    <w:rsid w:val="00DE2CF0"/>
    <w:rsid w:val="00DF1C6D"/>
    <w:rsid w:val="00DF200B"/>
    <w:rsid w:val="00E03ED2"/>
    <w:rsid w:val="00E0550E"/>
    <w:rsid w:val="00E07EE4"/>
    <w:rsid w:val="00E11CF7"/>
    <w:rsid w:val="00E126BE"/>
    <w:rsid w:val="00E13B94"/>
    <w:rsid w:val="00E15241"/>
    <w:rsid w:val="00E1690E"/>
    <w:rsid w:val="00E177B1"/>
    <w:rsid w:val="00E21FDE"/>
    <w:rsid w:val="00E22801"/>
    <w:rsid w:val="00E23C9A"/>
    <w:rsid w:val="00E244D7"/>
    <w:rsid w:val="00E27A46"/>
    <w:rsid w:val="00E27E21"/>
    <w:rsid w:val="00E323C9"/>
    <w:rsid w:val="00E337FD"/>
    <w:rsid w:val="00E41465"/>
    <w:rsid w:val="00E429FB"/>
    <w:rsid w:val="00E4501E"/>
    <w:rsid w:val="00E464AF"/>
    <w:rsid w:val="00E4C709"/>
    <w:rsid w:val="00E50086"/>
    <w:rsid w:val="00E50184"/>
    <w:rsid w:val="00E5446F"/>
    <w:rsid w:val="00E563D6"/>
    <w:rsid w:val="00E56966"/>
    <w:rsid w:val="00E615D9"/>
    <w:rsid w:val="00E66511"/>
    <w:rsid w:val="00E67103"/>
    <w:rsid w:val="00E72BCB"/>
    <w:rsid w:val="00E80286"/>
    <w:rsid w:val="00E81B87"/>
    <w:rsid w:val="00E828E9"/>
    <w:rsid w:val="00E832A2"/>
    <w:rsid w:val="00E959D8"/>
    <w:rsid w:val="00EA78FF"/>
    <w:rsid w:val="00EB64F1"/>
    <w:rsid w:val="00EB73B3"/>
    <w:rsid w:val="00EC2D97"/>
    <w:rsid w:val="00EC419F"/>
    <w:rsid w:val="00EC5561"/>
    <w:rsid w:val="00EC6BAF"/>
    <w:rsid w:val="00ED2500"/>
    <w:rsid w:val="00ED43B5"/>
    <w:rsid w:val="00ED5C64"/>
    <w:rsid w:val="00EE0019"/>
    <w:rsid w:val="00EE3A69"/>
    <w:rsid w:val="00EE46DC"/>
    <w:rsid w:val="00EE6969"/>
    <w:rsid w:val="00EF71F7"/>
    <w:rsid w:val="00EF7E63"/>
    <w:rsid w:val="00F002C1"/>
    <w:rsid w:val="00F0507D"/>
    <w:rsid w:val="00F10A92"/>
    <w:rsid w:val="00F129BF"/>
    <w:rsid w:val="00F2008D"/>
    <w:rsid w:val="00F200E2"/>
    <w:rsid w:val="00F20154"/>
    <w:rsid w:val="00F2066D"/>
    <w:rsid w:val="00F21BF5"/>
    <w:rsid w:val="00F2445F"/>
    <w:rsid w:val="00F246C9"/>
    <w:rsid w:val="00F265BB"/>
    <w:rsid w:val="00F26D13"/>
    <w:rsid w:val="00F3492E"/>
    <w:rsid w:val="00F37242"/>
    <w:rsid w:val="00F41C41"/>
    <w:rsid w:val="00F51215"/>
    <w:rsid w:val="00F5499A"/>
    <w:rsid w:val="00F623A5"/>
    <w:rsid w:val="00F63338"/>
    <w:rsid w:val="00F6671F"/>
    <w:rsid w:val="00F678D4"/>
    <w:rsid w:val="00F70AE7"/>
    <w:rsid w:val="00F7222D"/>
    <w:rsid w:val="00F73DBC"/>
    <w:rsid w:val="00F768F9"/>
    <w:rsid w:val="00F78EEF"/>
    <w:rsid w:val="00F82352"/>
    <w:rsid w:val="00F90F76"/>
    <w:rsid w:val="00F92EBC"/>
    <w:rsid w:val="00F948D0"/>
    <w:rsid w:val="00F94971"/>
    <w:rsid w:val="00FA1E2B"/>
    <w:rsid w:val="00FA2230"/>
    <w:rsid w:val="00FB1099"/>
    <w:rsid w:val="00FB2C96"/>
    <w:rsid w:val="00FB2D80"/>
    <w:rsid w:val="00FB5867"/>
    <w:rsid w:val="00FB715C"/>
    <w:rsid w:val="00FB724A"/>
    <w:rsid w:val="00FB7CE3"/>
    <w:rsid w:val="00FC38F8"/>
    <w:rsid w:val="00FC4056"/>
    <w:rsid w:val="00FC4731"/>
    <w:rsid w:val="00FC5BF5"/>
    <w:rsid w:val="00FC5CA4"/>
    <w:rsid w:val="00FC7060"/>
    <w:rsid w:val="00FD1CA6"/>
    <w:rsid w:val="00FD639E"/>
    <w:rsid w:val="00FE2D3E"/>
    <w:rsid w:val="00FE6815"/>
    <w:rsid w:val="00FE72C8"/>
    <w:rsid w:val="00FF03A7"/>
    <w:rsid w:val="00FF10FE"/>
    <w:rsid w:val="00FF1C98"/>
    <w:rsid w:val="00FF4054"/>
    <w:rsid w:val="011CC52D"/>
    <w:rsid w:val="012E8A2D"/>
    <w:rsid w:val="01402355"/>
    <w:rsid w:val="019AF697"/>
    <w:rsid w:val="01AF5DB7"/>
    <w:rsid w:val="01B06F5D"/>
    <w:rsid w:val="01B79D91"/>
    <w:rsid w:val="01D6C1A7"/>
    <w:rsid w:val="01DD8F4E"/>
    <w:rsid w:val="01E26C49"/>
    <w:rsid w:val="01E26F8F"/>
    <w:rsid w:val="020A9F61"/>
    <w:rsid w:val="020FF4D3"/>
    <w:rsid w:val="02138799"/>
    <w:rsid w:val="02195F9E"/>
    <w:rsid w:val="0226CBE2"/>
    <w:rsid w:val="0228E945"/>
    <w:rsid w:val="023E5135"/>
    <w:rsid w:val="02536AAC"/>
    <w:rsid w:val="025656F3"/>
    <w:rsid w:val="0268CF16"/>
    <w:rsid w:val="026D012B"/>
    <w:rsid w:val="027261EE"/>
    <w:rsid w:val="02739679"/>
    <w:rsid w:val="028B1862"/>
    <w:rsid w:val="02A4761F"/>
    <w:rsid w:val="02A4FDCD"/>
    <w:rsid w:val="02A7E7D1"/>
    <w:rsid w:val="02C18149"/>
    <w:rsid w:val="02C55E18"/>
    <w:rsid w:val="02E23911"/>
    <w:rsid w:val="031D6EEF"/>
    <w:rsid w:val="03347658"/>
    <w:rsid w:val="035E503A"/>
    <w:rsid w:val="03606A92"/>
    <w:rsid w:val="036666EF"/>
    <w:rsid w:val="036BD808"/>
    <w:rsid w:val="0370233B"/>
    <w:rsid w:val="037E3FF0"/>
    <w:rsid w:val="038C543D"/>
    <w:rsid w:val="03C1A6C3"/>
    <w:rsid w:val="03CBCEFA"/>
    <w:rsid w:val="03CDE830"/>
    <w:rsid w:val="03D09E5F"/>
    <w:rsid w:val="03DF7421"/>
    <w:rsid w:val="03F844A1"/>
    <w:rsid w:val="0401DDD5"/>
    <w:rsid w:val="04079F19"/>
    <w:rsid w:val="040B3A87"/>
    <w:rsid w:val="041DD538"/>
    <w:rsid w:val="042A5A3F"/>
    <w:rsid w:val="045AB917"/>
    <w:rsid w:val="045C3DDA"/>
    <w:rsid w:val="046BC370"/>
    <w:rsid w:val="0474A6D3"/>
    <w:rsid w:val="0478DF01"/>
    <w:rsid w:val="04ACC58C"/>
    <w:rsid w:val="04AEB42C"/>
    <w:rsid w:val="04B13DF8"/>
    <w:rsid w:val="04B4B1C3"/>
    <w:rsid w:val="04B790B8"/>
    <w:rsid w:val="04C900EB"/>
    <w:rsid w:val="04CFBB1E"/>
    <w:rsid w:val="04D28159"/>
    <w:rsid w:val="04E8BD56"/>
    <w:rsid w:val="04F1EC3F"/>
    <w:rsid w:val="04F3E075"/>
    <w:rsid w:val="050F7DCC"/>
    <w:rsid w:val="051C2EC6"/>
    <w:rsid w:val="051F64D6"/>
    <w:rsid w:val="0521DC4E"/>
    <w:rsid w:val="052CC74A"/>
    <w:rsid w:val="05452B0A"/>
    <w:rsid w:val="054E0072"/>
    <w:rsid w:val="055EA3F3"/>
    <w:rsid w:val="05745E4A"/>
    <w:rsid w:val="05881DBF"/>
    <w:rsid w:val="059951DF"/>
    <w:rsid w:val="059EC7AC"/>
    <w:rsid w:val="05A246AE"/>
    <w:rsid w:val="05A7B779"/>
    <w:rsid w:val="05AD0DA9"/>
    <w:rsid w:val="05C1573C"/>
    <w:rsid w:val="05CF2641"/>
    <w:rsid w:val="05E372A7"/>
    <w:rsid w:val="05E7B760"/>
    <w:rsid w:val="05EC9BA1"/>
    <w:rsid w:val="05FA355E"/>
    <w:rsid w:val="0608C3FB"/>
    <w:rsid w:val="061EBDAE"/>
    <w:rsid w:val="0659103C"/>
    <w:rsid w:val="06624F74"/>
    <w:rsid w:val="06672F03"/>
    <w:rsid w:val="066C79E3"/>
    <w:rsid w:val="069FA4A4"/>
    <w:rsid w:val="06AD29DA"/>
    <w:rsid w:val="06ADD76B"/>
    <w:rsid w:val="06B18F73"/>
    <w:rsid w:val="06B5E0B2"/>
    <w:rsid w:val="06C7F0FB"/>
    <w:rsid w:val="070D640C"/>
    <w:rsid w:val="07232400"/>
    <w:rsid w:val="0732D01A"/>
    <w:rsid w:val="0736FA9E"/>
    <w:rsid w:val="074A4FD0"/>
    <w:rsid w:val="076637D0"/>
    <w:rsid w:val="0781CE53"/>
    <w:rsid w:val="079ACCA0"/>
    <w:rsid w:val="079F40AC"/>
    <w:rsid w:val="07AC4795"/>
    <w:rsid w:val="07ACE7E8"/>
    <w:rsid w:val="07BCA8E8"/>
    <w:rsid w:val="07D7CC9E"/>
    <w:rsid w:val="0803F508"/>
    <w:rsid w:val="080D11E0"/>
    <w:rsid w:val="081BEDB8"/>
    <w:rsid w:val="083473C7"/>
    <w:rsid w:val="083FC1D4"/>
    <w:rsid w:val="08604525"/>
    <w:rsid w:val="08654642"/>
    <w:rsid w:val="089F20AA"/>
    <w:rsid w:val="08BC8F3E"/>
    <w:rsid w:val="08C3F1E6"/>
    <w:rsid w:val="08E4F45D"/>
    <w:rsid w:val="08FA1DEB"/>
    <w:rsid w:val="0909FE76"/>
    <w:rsid w:val="090CFBCC"/>
    <w:rsid w:val="091A5BBE"/>
    <w:rsid w:val="0929CA17"/>
    <w:rsid w:val="0932517F"/>
    <w:rsid w:val="093EE733"/>
    <w:rsid w:val="09552A91"/>
    <w:rsid w:val="095CB26B"/>
    <w:rsid w:val="09661958"/>
    <w:rsid w:val="0971C534"/>
    <w:rsid w:val="0990B0FE"/>
    <w:rsid w:val="099927DF"/>
    <w:rsid w:val="09A402D4"/>
    <w:rsid w:val="09A9AC79"/>
    <w:rsid w:val="09BFD6FD"/>
    <w:rsid w:val="09C1D863"/>
    <w:rsid w:val="09D15500"/>
    <w:rsid w:val="09D429FF"/>
    <w:rsid w:val="09DCDC29"/>
    <w:rsid w:val="09E6E2AB"/>
    <w:rsid w:val="09F5CAEA"/>
    <w:rsid w:val="0A104818"/>
    <w:rsid w:val="0A118F05"/>
    <w:rsid w:val="0A14D82F"/>
    <w:rsid w:val="0A192CC2"/>
    <w:rsid w:val="0A1B7C39"/>
    <w:rsid w:val="0A2874D9"/>
    <w:rsid w:val="0A28F4D5"/>
    <w:rsid w:val="0A335EF7"/>
    <w:rsid w:val="0A34F7FA"/>
    <w:rsid w:val="0A455A80"/>
    <w:rsid w:val="0A49631A"/>
    <w:rsid w:val="0A4E0FBC"/>
    <w:rsid w:val="0A4E59B6"/>
    <w:rsid w:val="0A4EA821"/>
    <w:rsid w:val="0A65892E"/>
    <w:rsid w:val="0A6BE1F6"/>
    <w:rsid w:val="0A734183"/>
    <w:rsid w:val="0A767F52"/>
    <w:rsid w:val="0A85D849"/>
    <w:rsid w:val="0A8E701E"/>
    <w:rsid w:val="0A9CF185"/>
    <w:rsid w:val="0AA1D026"/>
    <w:rsid w:val="0AA72CDD"/>
    <w:rsid w:val="0AA8261E"/>
    <w:rsid w:val="0AABBB15"/>
    <w:rsid w:val="0AAFAF02"/>
    <w:rsid w:val="0AB62C1F"/>
    <w:rsid w:val="0AB83CAD"/>
    <w:rsid w:val="0ABE4969"/>
    <w:rsid w:val="0AD48751"/>
    <w:rsid w:val="0AD65AD7"/>
    <w:rsid w:val="0ADB4919"/>
    <w:rsid w:val="0AE8571F"/>
    <w:rsid w:val="0AFD9B74"/>
    <w:rsid w:val="0B1E005F"/>
    <w:rsid w:val="0B24CA0A"/>
    <w:rsid w:val="0B2C815F"/>
    <w:rsid w:val="0B31B472"/>
    <w:rsid w:val="0B5BB1FF"/>
    <w:rsid w:val="0B64F1BF"/>
    <w:rsid w:val="0B7AD0BD"/>
    <w:rsid w:val="0B823311"/>
    <w:rsid w:val="0BB9E8B1"/>
    <w:rsid w:val="0BBEE842"/>
    <w:rsid w:val="0BC86FE1"/>
    <w:rsid w:val="0BD7D0E8"/>
    <w:rsid w:val="0BDE4F95"/>
    <w:rsid w:val="0C233734"/>
    <w:rsid w:val="0C3E2CE5"/>
    <w:rsid w:val="0C42262A"/>
    <w:rsid w:val="0C5754F2"/>
    <w:rsid w:val="0C577D2B"/>
    <w:rsid w:val="0C903BAD"/>
    <w:rsid w:val="0CC6584C"/>
    <w:rsid w:val="0CD0A18F"/>
    <w:rsid w:val="0D015870"/>
    <w:rsid w:val="0D169DB6"/>
    <w:rsid w:val="0D25685B"/>
    <w:rsid w:val="0D488ABC"/>
    <w:rsid w:val="0D4B2754"/>
    <w:rsid w:val="0D531514"/>
    <w:rsid w:val="0D66EE0C"/>
    <w:rsid w:val="0D70AE20"/>
    <w:rsid w:val="0D7A4A87"/>
    <w:rsid w:val="0D827440"/>
    <w:rsid w:val="0D860AF9"/>
    <w:rsid w:val="0DC388EE"/>
    <w:rsid w:val="0DC4DDDD"/>
    <w:rsid w:val="0DCDFC32"/>
    <w:rsid w:val="0E1D6DD8"/>
    <w:rsid w:val="0E30C3F2"/>
    <w:rsid w:val="0E7477B1"/>
    <w:rsid w:val="0E8892EA"/>
    <w:rsid w:val="0E9D43C6"/>
    <w:rsid w:val="0EACD84A"/>
    <w:rsid w:val="0EB6B4F5"/>
    <w:rsid w:val="0ED49C76"/>
    <w:rsid w:val="0EE66D13"/>
    <w:rsid w:val="0EF26688"/>
    <w:rsid w:val="0F0AA4BB"/>
    <w:rsid w:val="0F10B774"/>
    <w:rsid w:val="0F37879A"/>
    <w:rsid w:val="0F38A007"/>
    <w:rsid w:val="0F8CB628"/>
    <w:rsid w:val="0F8D8EB9"/>
    <w:rsid w:val="0FAF8F8A"/>
    <w:rsid w:val="0FBB7CB6"/>
    <w:rsid w:val="0FC182DC"/>
    <w:rsid w:val="0FD1956F"/>
    <w:rsid w:val="0FD2E7F5"/>
    <w:rsid w:val="0FE106B8"/>
    <w:rsid w:val="0FEE190E"/>
    <w:rsid w:val="0FF34025"/>
    <w:rsid w:val="0FFCDB52"/>
    <w:rsid w:val="1026ADC0"/>
    <w:rsid w:val="10398FCA"/>
    <w:rsid w:val="1066B0B2"/>
    <w:rsid w:val="107CC085"/>
    <w:rsid w:val="10926ADE"/>
    <w:rsid w:val="10C11480"/>
    <w:rsid w:val="10C45597"/>
    <w:rsid w:val="10CACE05"/>
    <w:rsid w:val="10CF2666"/>
    <w:rsid w:val="10D3DDED"/>
    <w:rsid w:val="10D87BE5"/>
    <w:rsid w:val="10E0333B"/>
    <w:rsid w:val="11113B26"/>
    <w:rsid w:val="11209866"/>
    <w:rsid w:val="112E8490"/>
    <w:rsid w:val="11457431"/>
    <w:rsid w:val="114B6621"/>
    <w:rsid w:val="114BCD9B"/>
    <w:rsid w:val="114D77A7"/>
    <w:rsid w:val="115AE37A"/>
    <w:rsid w:val="1178B5BD"/>
    <w:rsid w:val="1187DB4C"/>
    <w:rsid w:val="1190DA1A"/>
    <w:rsid w:val="119E42A3"/>
    <w:rsid w:val="11A58AF2"/>
    <w:rsid w:val="11AF2F44"/>
    <w:rsid w:val="11B3FA3F"/>
    <w:rsid w:val="11C8B37E"/>
    <w:rsid w:val="11CF91AF"/>
    <w:rsid w:val="11D3E664"/>
    <w:rsid w:val="11D6887F"/>
    <w:rsid w:val="11E16721"/>
    <w:rsid w:val="11EA6183"/>
    <w:rsid w:val="120080DF"/>
    <w:rsid w:val="1206CB8B"/>
    <w:rsid w:val="120AA123"/>
    <w:rsid w:val="120B6702"/>
    <w:rsid w:val="122F8B2D"/>
    <w:rsid w:val="1239D86B"/>
    <w:rsid w:val="124CE77D"/>
    <w:rsid w:val="12A9626D"/>
    <w:rsid w:val="12CF0DF0"/>
    <w:rsid w:val="12D3CF96"/>
    <w:rsid w:val="12EEFB84"/>
    <w:rsid w:val="1305E72A"/>
    <w:rsid w:val="1348A944"/>
    <w:rsid w:val="135806EA"/>
    <w:rsid w:val="135C37AC"/>
    <w:rsid w:val="135D65FF"/>
    <w:rsid w:val="137C83B8"/>
    <w:rsid w:val="13A4B007"/>
    <w:rsid w:val="13DBE427"/>
    <w:rsid w:val="13E9E069"/>
    <w:rsid w:val="13FA2A69"/>
    <w:rsid w:val="14349192"/>
    <w:rsid w:val="1436544D"/>
    <w:rsid w:val="143DA491"/>
    <w:rsid w:val="143E2B20"/>
    <w:rsid w:val="1460274B"/>
    <w:rsid w:val="1489301F"/>
    <w:rsid w:val="148EBF3B"/>
    <w:rsid w:val="14AFDCA9"/>
    <w:rsid w:val="14C6C8AC"/>
    <w:rsid w:val="14CB413C"/>
    <w:rsid w:val="14E63BB7"/>
    <w:rsid w:val="151767E8"/>
    <w:rsid w:val="154A2906"/>
    <w:rsid w:val="1551B27F"/>
    <w:rsid w:val="156F5227"/>
    <w:rsid w:val="15783478"/>
    <w:rsid w:val="15823731"/>
    <w:rsid w:val="158C6145"/>
    <w:rsid w:val="15940347"/>
    <w:rsid w:val="15BBADC7"/>
    <w:rsid w:val="15CCD870"/>
    <w:rsid w:val="15D27A52"/>
    <w:rsid w:val="15E1E217"/>
    <w:rsid w:val="15E76C6E"/>
    <w:rsid w:val="15FAAFDF"/>
    <w:rsid w:val="160FF080"/>
    <w:rsid w:val="161018B0"/>
    <w:rsid w:val="1627B6EA"/>
    <w:rsid w:val="165F27D3"/>
    <w:rsid w:val="168651D4"/>
    <w:rsid w:val="1697E4D8"/>
    <w:rsid w:val="169BB174"/>
    <w:rsid w:val="16B5B1A0"/>
    <w:rsid w:val="16F501E3"/>
    <w:rsid w:val="16F8A62F"/>
    <w:rsid w:val="16FAEB6E"/>
    <w:rsid w:val="16FC288E"/>
    <w:rsid w:val="171E60ED"/>
    <w:rsid w:val="17414DA7"/>
    <w:rsid w:val="17567CE7"/>
    <w:rsid w:val="17722741"/>
    <w:rsid w:val="1777289D"/>
    <w:rsid w:val="17A31E5A"/>
    <w:rsid w:val="17DC0B4E"/>
    <w:rsid w:val="17F7813E"/>
    <w:rsid w:val="17F95412"/>
    <w:rsid w:val="1861DC90"/>
    <w:rsid w:val="1869BA2D"/>
    <w:rsid w:val="1879142D"/>
    <w:rsid w:val="187E0040"/>
    <w:rsid w:val="1886845E"/>
    <w:rsid w:val="18900DE0"/>
    <w:rsid w:val="189E5938"/>
    <w:rsid w:val="18A52C77"/>
    <w:rsid w:val="18EE3C83"/>
    <w:rsid w:val="18EE7479"/>
    <w:rsid w:val="18F903ED"/>
    <w:rsid w:val="1900E194"/>
    <w:rsid w:val="19298A80"/>
    <w:rsid w:val="19426F73"/>
    <w:rsid w:val="19488CA5"/>
    <w:rsid w:val="1952521A"/>
    <w:rsid w:val="195EB224"/>
    <w:rsid w:val="196A3DBE"/>
    <w:rsid w:val="19A923C5"/>
    <w:rsid w:val="19BCA955"/>
    <w:rsid w:val="19BDF296"/>
    <w:rsid w:val="19D10512"/>
    <w:rsid w:val="19D8786E"/>
    <w:rsid w:val="19DC4B4D"/>
    <w:rsid w:val="19E294C6"/>
    <w:rsid w:val="19EE7D0C"/>
    <w:rsid w:val="19F32CBD"/>
    <w:rsid w:val="19FE5301"/>
    <w:rsid w:val="1A01D66F"/>
    <w:rsid w:val="1A04D089"/>
    <w:rsid w:val="1A08B963"/>
    <w:rsid w:val="1A12FFD0"/>
    <w:rsid w:val="1A2EA70A"/>
    <w:rsid w:val="1A6BA60D"/>
    <w:rsid w:val="1AABFF59"/>
    <w:rsid w:val="1ABD751E"/>
    <w:rsid w:val="1AD6D085"/>
    <w:rsid w:val="1AE192AE"/>
    <w:rsid w:val="1B01F9A7"/>
    <w:rsid w:val="1B3344DB"/>
    <w:rsid w:val="1B448670"/>
    <w:rsid w:val="1B4B256F"/>
    <w:rsid w:val="1B5784D3"/>
    <w:rsid w:val="1B59C2F7"/>
    <w:rsid w:val="1B7E9864"/>
    <w:rsid w:val="1B856F1D"/>
    <w:rsid w:val="1BBAD80C"/>
    <w:rsid w:val="1BBEC677"/>
    <w:rsid w:val="1BC8D7ED"/>
    <w:rsid w:val="1BCA2C06"/>
    <w:rsid w:val="1BCA606E"/>
    <w:rsid w:val="1BECDD63"/>
    <w:rsid w:val="1BEEF0D3"/>
    <w:rsid w:val="1C0ED90F"/>
    <w:rsid w:val="1C1547DF"/>
    <w:rsid w:val="1C172E1F"/>
    <w:rsid w:val="1C1DE416"/>
    <w:rsid w:val="1C2CE522"/>
    <w:rsid w:val="1C53860C"/>
    <w:rsid w:val="1C6B68CB"/>
    <w:rsid w:val="1C7F8149"/>
    <w:rsid w:val="1CB13731"/>
    <w:rsid w:val="1CBE60DE"/>
    <w:rsid w:val="1CE17A26"/>
    <w:rsid w:val="1CEE8D88"/>
    <w:rsid w:val="1CF35993"/>
    <w:rsid w:val="1CFB7986"/>
    <w:rsid w:val="1CFBA150"/>
    <w:rsid w:val="1D0BF6B7"/>
    <w:rsid w:val="1D1D0F12"/>
    <w:rsid w:val="1D21F046"/>
    <w:rsid w:val="1D47B744"/>
    <w:rsid w:val="1D5DD99E"/>
    <w:rsid w:val="1D6F0BCB"/>
    <w:rsid w:val="1D73CE8C"/>
    <w:rsid w:val="1D83F55D"/>
    <w:rsid w:val="1D88F731"/>
    <w:rsid w:val="1D9437CC"/>
    <w:rsid w:val="1D99D48B"/>
    <w:rsid w:val="1DC121EA"/>
    <w:rsid w:val="1DD7A2A4"/>
    <w:rsid w:val="1DF2C460"/>
    <w:rsid w:val="1DF4C7D4"/>
    <w:rsid w:val="1E05F9EB"/>
    <w:rsid w:val="1E0FBE77"/>
    <w:rsid w:val="1E18E313"/>
    <w:rsid w:val="1E20C4AB"/>
    <w:rsid w:val="1E29D4AB"/>
    <w:rsid w:val="1E3894EB"/>
    <w:rsid w:val="1E82743F"/>
    <w:rsid w:val="1EA2ADB1"/>
    <w:rsid w:val="1EA60ED9"/>
    <w:rsid w:val="1EB9CD26"/>
    <w:rsid w:val="1EC25F16"/>
    <w:rsid w:val="1ED1C424"/>
    <w:rsid w:val="1ED4E1A5"/>
    <w:rsid w:val="1ED7E2EF"/>
    <w:rsid w:val="1EDD93B0"/>
    <w:rsid w:val="1EDE2C06"/>
    <w:rsid w:val="1EF52A72"/>
    <w:rsid w:val="1F1FC5BE"/>
    <w:rsid w:val="1F584DB8"/>
    <w:rsid w:val="1F6060AD"/>
    <w:rsid w:val="1F6AF328"/>
    <w:rsid w:val="1F7EA1A2"/>
    <w:rsid w:val="1F82D7C4"/>
    <w:rsid w:val="1F8EBE36"/>
    <w:rsid w:val="1FC3BECA"/>
    <w:rsid w:val="1FDC8BFA"/>
    <w:rsid w:val="1FE90B93"/>
    <w:rsid w:val="1FEBF741"/>
    <w:rsid w:val="1FF8F3FB"/>
    <w:rsid w:val="2004F060"/>
    <w:rsid w:val="202B514F"/>
    <w:rsid w:val="20336C46"/>
    <w:rsid w:val="203E2074"/>
    <w:rsid w:val="203FD228"/>
    <w:rsid w:val="2066E354"/>
    <w:rsid w:val="2068EC05"/>
    <w:rsid w:val="206EDF29"/>
    <w:rsid w:val="2076572F"/>
    <w:rsid w:val="20914B93"/>
    <w:rsid w:val="2093C086"/>
    <w:rsid w:val="20B65E54"/>
    <w:rsid w:val="20BA7967"/>
    <w:rsid w:val="20BD7936"/>
    <w:rsid w:val="20BFC362"/>
    <w:rsid w:val="20C7E0D7"/>
    <w:rsid w:val="20EAED75"/>
    <w:rsid w:val="20F4CE6E"/>
    <w:rsid w:val="214BB557"/>
    <w:rsid w:val="214D8158"/>
    <w:rsid w:val="216213D5"/>
    <w:rsid w:val="2165D8C1"/>
    <w:rsid w:val="216ED057"/>
    <w:rsid w:val="2178B96D"/>
    <w:rsid w:val="21851143"/>
    <w:rsid w:val="21AFF43D"/>
    <w:rsid w:val="21B7E03C"/>
    <w:rsid w:val="21BB2539"/>
    <w:rsid w:val="21CF2AC6"/>
    <w:rsid w:val="21DBED3F"/>
    <w:rsid w:val="21EA8FE6"/>
    <w:rsid w:val="21F3717B"/>
    <w:rsid w:val="21FDD876"/>
    <w:rsid w:val="221E61A3"/>
    <w:rsid w:val="221E8776"/>
    <w:rsid w:val="225BDD4F"/>
    <w:rsid w:val="2286BDD6"/>
    <w:rsid w:val="22989DA8"/>
    <w:rsid w:val="22B0D501"/>
    <w:rsid w:val="22CFF03E"/>
    <w:rsid w:val="22DB5375"/>
    <w:rsid w:val="22E91115"/>
    <w:rsid w:val="22F42F94"/>
    <w:rsid w:val="230A3710"/>
    <w:rsid w:val="2320DA9C"/>
    <w:rsid w:val="2322084F"/>
    <w:rsid w:val="232AA91D"/>
    <w:rsid w:val="233BF121"/>
    <w:rsid w:val="238F41DC"/>
    <w:rsid w:val="239D653B"/>
    <w:rsid w:val="23B4D74F"/>
    <w:rsid w:val="23C289E2"/>
    <w:rsid w:val="23CA3646"/>
    <w:rsid w:val="23DCAEFD"/>
    <w:rsid w:val="23E55E3E"/>
    <w:rsid w:val="23E59DF7"/>
    <w:rsid w:val="23EA9700"/>
    <w:rsid w:val="23F68590"/>
    <w:rsid w:val="241811AB"/>
    <w:rsid w:val="242C6751"/>
    <w:rsid w:val="2436E0FE"/>
    <w:rsid w:val="2444727B"/>
    <w:rsid w:val="244D3157"/>
    <w:rsid w:val="246D6986"/>
    <w:rsid w:val="247AF2BE"/>
    <w:rsid w:val="248EAE12"/>
    <w:rsid w:val="24A10F43"/>
    <w:rsid w:val="24A54208"/>
    <w:rsid w:val="24ADDD5F"/>
    <w:rsid w:val="24B2E6E6"/>
    <w:rsid w:val="24F8F454"/>
    <w:rsid w:val="250E29C4"/>
    <w:rsid w:val="2510F4CC"/>
    <w:rsid w:val="2514C71C"/>
    <w:rsid w:val="253EF4EB"/>
    <w:rsid w:val="254DCCC5"/>
    <w:rsid w:val="254FCCAC"/>
    <w:rsid w:val="25560265"/>
    <w:rsid w:val="255F3B0C"/>
    <w:rsid w:val="2570992E"/>
    <w:rsid w:val="25816D31"/>
    <w:rsid w:val="2585166E"/>
    <w:rsid w:val="25BAE89C"/>
    <w:rsid w:val="25BBAE34"/>
    <w:rsid w:val="25D47795"/>
    <w:rsid w:val="25F056E9"/>
    <w:rsid w:val="25F2B871"/>
    <w:rsid w:val="25FA0DAF"/>
    <w:rsid w:val="26104402"/>
    <w:rsid w:val="26183370"/>
    <w:rsid w:val="262231B3"/>
    <w:rsid w:val="26277637"/>
    <w:rsid w:val="262ACA23"/>
    <w:rsid w:val="26411F31"/>
    <w:rsid w:val="2643A6D0"/>
    <w:rsid w:val="26526FAA"/>
    <w:rsid w:val="2677440E"/>
    <w:rsid w:val="2679D1EC"/>
    <w:rsid w:val="26A2BA52"/>
    <w:rsid w:val="26C8BC5E"/>
    <w:rsid w:val="26CC1644"/>
    <w:rsid w:val="26E2F4D4"/>
    <w:rsid w:val="26E56BCA"/>
    <w:rsid w:val="26F785D4"/>
    <w:rsid w:val="26FD5680"/>
    <w:rsid w:val="2705D5FF"/>
    <w:rsid w:val="2754A722"/>
    <w:rsid w:val="2762CC3B"/>
    <w:rsid w:val="2763DF61"/>
    <w:rsid w:val="2769784C"/>
    <w:rsid w:val="277829C2"/>
    <w:rsid w:val="279DEA19"/>
    <w:rsid w:val="27BB973C"/>
    <w:rsid w:val="27BDA90F"/>
    <w:rsid w:val="27CD5C00"/>
    <w:rsid w:val="27DDF7FA"/>
    <w:rsid w:val="27DF8AFE"/>
    <w:rsid w:val="27EA9206"/>
    <w:rsid w:val="27FA9BA6"/>
    <w:rsid w:val="28036F18"/>
    <w:rsid w:val="2822FF90"/>
    <w:rsid w:val="283550F9"/>
    <w:rsid w:val="283E1712"/>
    <w:rsid w:val="283E8AB3"/>
    <w:rsid w:val="284A43E3"/>
    <w:rsid w:val="284DF1EC"/>
    <w:rsid w:val="2863ADC0"/>
    <w:rsid w:val="28747ACA"/>
    <w:rsid w:val="288E95CE"/>
    <w:rsid w:val="289E0FCB"/>
    <w:rsid w:val="289E9E7A"/>
    <w:rsid w:val="28A18BE0"/>
    <w:rsid w:val="28A88D75"/>
    <w:rsid w:val="28C4C011"/>
    <w:rsid w:val="28CE395E"/>
    <w:rsid w:val="28D00EF2"/>
    <w:rsid w:val="28F6C217"/>
    <w:rsid w:val="29324922"/>
    <w:rsid w:val="293E6F95"/>
    <w:rsid w:val="295A68B6"/>
    <w:rsid w:val="295BEC8F"/>
    <w:rsid w:val="29616B65"/>
    <w:rsid w:val="2972566C"/>
    <w:rsid w:val="2972EBB7"/>
    <w:rsid w:val="29785F51"/>
    <w:rsid w:val="298C5F81"/>
    <w:rsid w:val="29900319"/>
    <w:rsid w:val="29A8B2A4"/>
    <w:rsid w:val="29A953B5"/>
    <w:rsid w:val="29AA1CF4"/>
    <w:rsid w:val="29BA496C"/>
    <w:rsid w:val="29FE37A1"/>
    <w:rsid w:val="2A119A6F"/>
    <w:rsid w:val="2A5E5D95"/>
    <w:rsid w:val="2A60DF2F"/>
    <w:rsid w:val="2A615111"/>
    <w:rsid w:val="2A755F19"/>
    <w:rsid w:val="2A915FE8"/>
    <w:rsid w:val="2A943C3D"/>
    <w:rsid w:val="2AC684B2"/>
    <w:rsid w:val="2AD53212"/>
    <w:rsid w:val="2AEE470A"/>
    <w:rsid w:val="2AF03BAB"/>
    <w:rsid w:val="2B067C0A"/>
    <w:rsid w:val="2B09E690"/>
    <w:rsid w:val="2B154CA2"/>
    <w:rsid w:val="2B27356E"/>
    <w:rsid w:val="2B2ACFE5"/>
    <w:rsid w:val="2B3861E9"/>
    <w:rsid w:val="2B3EA381"/>
    <w:rsid w:val="2B480F0C"/>
    <w:rsid w:val="2B55ACE3"/>
    <w:rsid w:val="2B57E3AC"/>
    <w:rsid w:val="2B5E4316"/>
    <w:rsid w:val="2B688A27"/>
    <w:rsid w:val="2B692405"/>
    <w:rsid w:val="2B9AD8D2"/>
    <w:rsid w:val="2B9E7D49"/>
    <w:rsid w:val="2BAC1B8C"/>
    <w:rsid w:val="2BDE273B"/>
    <w:rsid w:val="2C0C9ED6"/>
    <w:rsid w:val="2C1944E1"/>
    <w:rsid w:val="2C1F912E"/>
    <w:rsid w:val="2C2BE4D3"/>
    <w:rsid w:val="2C40111A"/>
    <w:rsid w:val="2C5896E1"/>
    <w:rsid w:val="2C5F2BA0"/>
    <w:rsid w:val="2C8C0C0C"/>
    <w:rsid w:val="2C982185"/>
    <w:rsid w:val="2C9A7FB9"/>
    <w:rsid w:val="2C9E6C31"/>
    <w:rsid w:val="2CAECFC4"/>
    <w:rsid w:val="2CAFF1C3"/>
    <w:rsid w:val="2CB1FF07"/>
    <w:rsid w:val="2CD52D1F"/>
    <w:rsid w:val="2CD56B54"/>
    <w:rsid w:val="2CD673E8"/>
    <w:rsid w:val="2CD7B153"/>
    <w:rsid w:val="2CD92309"/>
    <w:rsid w:val="2CE2FFCC"/>
    <w:rsid w:val="2CF6C420"/>
    <w:rsid w:val="2CF7B231"/>
    <w:rsid w:val="2CF8BF5B"/>
    <w:rsid w:val="2D0F2D95"/>
    <w:rsid w:val="2D38F07C"/>
    <w:rsid w:val="2D39102F"/>
    <w:rsid w:val="2D9687B9"/>
    <w:rsid w:val="2D97EB07"/>
    <w:rsid w:val="2D995203"/>
    <w:rsid w:val="2D9A229A"/>
    <w:rsid w:val="2DBEEA57"/>
    <w:rsid w:val="2DD3A0E0"/>
    <w:rsid w:val="2DE98B1E"/>
    <w:rsid w:val="2DF2EA8F"/>
    <w:rsid w:val="2DF757F3"/>
    <w:rsid w:val="2E1D3B7C"/>
    <w:rsid w:val="2E3B355F"/>
    <w:rsid w:val="2E433459"/>
    <w:rsid w:val="2E5C55A9"/>
    <w:rsid w:val="2E70C75E"/>
    <w:rsid w:val="2E719607"/>
    <w:rsid w:val="2E7B0EE4"/>
    <w:rsid w:val="2E8B9113"/>
    <w:rsid w:val="2EA1AB07"/>
    <w:rsid w:val="2EAA2F0A"/>
    <w:rsid w:val="2ED3F713"/>
    <w:rsid w:val="2EE7A663"/>
    <w:rsid w:val="2EF7C7F1"/>
    <w:rsid w:val="2EFB5909"/>
    <w:rsid w:val="2EFBED1B"/>
    <w:rsid w:val="2F1AF3B5"/>
    <w:rsid w:val="2F255E64"/>
    <w:rsid w:val="2F27D6B8"/>
    <w:rsid w:val="2F2C8F53"/>
    <w:rsid w:val="2F4391F3"/>
    <w:rsid w:val="2F550412"/>
    <w:rsid w:val="2F655F47"/>
    <w:rsid w:val="2F656610"/>
    <w:rsid w:val="2F661397"/>
    <w:rsid w:val="2F6E93B3"/>
    <w:rsid w:val="2F7A33D4"/>
    <w:rsid w:val="2F7CD7BC"/>
    <w:rsid w:val="2F86A421"/>
    <w:rsid w:val="2F8DF785"/>
    <w:rsid w:val="2F8F211D"/>
    <w:rsid w:val="2F96CC62"/>
    <w:rsid w:val="2FA7B478"/>
    <w:rsid w:val="2FC0CCD3"/>
    <w:rsid w:val="2FD428E1"/>
    <w:rsid w:val="2FDEE7DE"/>
    <w:rsid w:val="2FDFA4EE"/>
    <w:rsid w:val="300CD6B7"/>
    <w:rsid w:val="301AF970"/>
    <w:rsid w:val="3030E746"/>
    <w:rsid w:val="303288DE"/>
    <w:rsid w:val="303562C9"/>
    <w:rsid w:val="3049EA4E"/>
    <w:rsid w:val="3057C35B"/>
    <w:rsid w:val="3065FEA3"/>
    <w:rsid w:val="30799058"/>
    <w:rsid w:val="307EFDE9"/>
    <w:rsid w:val="308BA5D5"/>
    <w:rsid w:val="30939852"/>
    <w:rsid w:val="30A7CB02"/>
    <w:rsid w:val="30C523AC"/>
    <w:rsid w:val="30D02A5A"/>
    <w:rsid w:val="30EF738A"/>
    <w:rsid w:val="3122B8FD"/>
    <w:rsid w:val="312A7A14"/>
    <w:rsid w:val="313CA066"/>
    <w:rsid w:val="313CC90F"/>
    <w:rsid w:val="314D07F7"/>
    <w:rsid w:val="3176548A"/>
    <w:rsid w:val="317AE1E3"/>
    <w:rsid w:val="317B754F"/>
    <w:rsid w:val="319FD5F4"/>
    <w:rsid w:val="31A04472"/>
    <w:rsid w:val="31B2355D"/>
    <w:rsid w:val="31C04511"/>
    <w:rsid w:val="31CE8901"/>
    <w:rsid w:val="31DA601C"/>
    <w:rsid w:val="31E5B3E0"/>
    <w:rsid w:val="31F9303E"/>
    <w:rsid w:val="31F9336C"/>
    <w:rsid w:val="32002960"/>
    <w:rsid w:val="32087B62"/>
    <w:rsid w:val="320AC266"/>
    <w:rsid w:val="32141AD3"/>
    <w:rsid w:val="3229E8EA"/>
    <w:rsid w:val="3234997A"/>
    <w:rsid w:val="324947FC"/>
    <w:rsid w:val="3250929A"/>
    <w:rsid w:val="325B42EE"/>
    <w:rsid w:val="327885EF"/>
    <w:rsid w:val="32BCCAF4"/>
    <w:rsid w:val="32F66D65"/>
    <w:rsid w:val="330B8F45"/>
    <w:rsid w:val="330C680E"/>
    <w:rsid w:val="330F5C10"/>
    <w:rsid w:val="332E8C78"/>
    <w:rsid w:val="335C6810"/>
    <w:rsid w:val="3384941A"/>
    <w:rsid w:val="339C492E"/>
    <w:rsid w:val="33A59848"/>
    <w:rsid w:val="33A5A927"/>
    <w:rsid w:val="33A8B65A"/>
    <w:rsid w:val="33EB391B"/>
    <w:rsid w:val="340911E6"/>
    <w:rsid w:val="3429E82B"/>
    <w:rsid w:val="3432FF1A"/>
    <w:rsid w:val="3467D603"/>
    <w:rsid w:val="34744128"/>
    <w:rsid w:val="34A6F346"/>
    <w:rsid w:val="34A7D5C7"/>
    <w:rsid w:val="34AAF82C"/>
    <w:rsid w:val="34B1298B"/>
    <w:rsid w:val="34C32EE7"/>
    <w:rsid w:val="34DF580F"/>
    <w:rsid w:val="34F7ADCF"/>
    <w:rsid w:val="35008857"/>
    <w:rsid w:val="35387FE1"/>
    <w:rsid w:val="353F7B43"/>
    <w:rsid w:val="35442214"/>
    <w:rsid w:val="3547E140"/>
    <w:rsid w:val="355C016E"/>
    <w:rsid w:val="3561E14B"/>
    <w:rsid w:val="356ACD94"/>
    <w:rsid w:val="357A27CA"/>
    <w:rsid w:val="3595BECF"/>
    <w:rsid w:val="3596C5D1"/>
    <w:rsid w:val="35974E03"/>
    <w:rsid w:val="35975FCC"/>
    <w:rsid w:val="35AEDADE"/>
    <w:rsid w:val="35BCABC4"/>
    <w:rsid w:val="35C113BC"/>
    <w:rsid w:val="35C7AF4F"/>
    <w:rsid w:val="35DFAEE4"/>
    <w:rsid w:val="35EE0A64"/>
    <w:rsid w:val="35F1639D"/>
    <w:rsid w:val="3621CD3E"/>
    <w:rsid w:val="3660E989"/>
    <w:rsid w:val="36727039"/>
    <w:rsid w:val="367F1B78"/>
    <w:rsid w:val="368646CF"/>
    <w:rsid w:val="368F3167"/>
    <w:rsid w:val="36A0AB77"/>
    <w:rsid w:val="36A4F704"/>
    <w:rsid w:val="36BA58F5"/>
    <w:rsid w:val="36BC1506"/>
    <w:rsid w:val="36CE4506"/>
    <w:rsid w:val="36DCC6CE"/>
    <w:rsid w:val="36EECE33"/>
    <w:rsid w:val="3746E7E1"/>
    <w:rsid w:val="3754F882"/>
    <w:rsid w:val="3759D16C"/>
    <w:rsid w:val="3780FE2B"/>
    <w:rsid w:val="378C227D"/>
    <w:rsid w:val="37BD96E0"/>
    <w:rsid w:val="37D2B87E"/>
    <w:rsid w:val="37D37408"/>
    <w:rsid w:val="37D47222"/>
    <w:rsid w:val="37EC84CA"/>
    <w:rsid w:val="37F63615"/>
    <w:rsid w:val="380B4E90"/>
    <w:rsid w:val="381CC90F"/>
    <w:rsid w:val="382C955F"/>
    <w:rsid w:val="3831ABD7"/>
    <w:rsid w:val="38687747"/>
    <w:rsid w:val="386F434A"/>
    <w:rsid w:val="387855A3"/>
    <w:rsid w:val="3897043C"/>
    <w:rsid w:val="38A8D749"/>
    <w:rsid w:val="38CD4E1F"/>
    <w:rsid w:val="38E6B0C6"/>
    <w:rsid w:val="38EAB029"/>
    <w:rsid w:val="3929045F"/>
    <w:rsid w:val="394D74DA"/>
    <w:rsid w:val="395D42E1"/>
    <w:rsid w:val="39AC3C4F"/>
    <w:rsid w:val="39AFE555"/>
    <w:rsid w:val="39C09809"/>
    <w:rsid w:val="39D30324"/>
    <w:rsid w:val="39D8EF4D"/>
    <w:rsid w:val="39DA81F8"/>
    <w:rsid w:val="39F6E740"/>
    <w:rsid w:val="3A09967F"/>
    <w:rsid w:val="3A336447"/>
    <w:rsid w:val="3A3CBCAD"/>
    <w:rsid w:val="3A574BB5"/>
    <w:rsid w:val="3A5779A7"/>
    <w:rsid w:val="3A79D212"/>
    <w:rsid w:val="3A87E7AD"/>
    <w:rsid w:val="3A8EF9C6"/>
    <w:rsid w:val="3A985288"/>
    <w:rsid w:val="3A987CCE"/>
    <w:rsid w:val="3A9BA3BD"/>
    <w:rsid w:val="3AA24AE8"/>
    <w:rsid w:val="3AD8630F"/>
    <w:rsid w:val="3AF4D193"/>
    <w:rsid w:val="3AF67323"/>
    <w:rsid w:val="3B30468A"/>
    <w:rsid w:val="3B422A0A"/>
    <w:rsid w:val="3B5FCCD9"/>
    <w:rsid w:val="3B638B49"/>
    <w:rsid w:val="3B87E912"/>
    <w:rsid w:val="3B8DE349"/>
    <w:rsid w:val="3B8F50B2"/>
    <w:rsid w:val="3B9813C5"/>
    <w:rsid w:val="3BD6600F"/>
    <w:rsid w:val="3BE071D6"/>
    <w:rsid w:val="3BE120A2"/>
    <w:rsid w:val="3BF50942"/>
    <w:rsid w:val="3C20EA83"/>
    <w:rsid w:val="3C32890F"/>
    <w:rsid w:val="3C3CF957"/>
    <w:rsid w:val="3C50A99A"/>
    <w:rsid w:val="3C575BC8"/>
    <w:rsid w:val="3C5C04D9"/>
    <w:rsid w:val="3C763BA5"/>
    <w:rsid w:val="3C7E25D4"/>
    <w:rsid w:val="3C7F3708"/>
    <w:rsid w:val="3C8D42C0"/>
    <w:rsid w:val="3C9C358F"/>
    <w:rsid w:val="3CBCEEE5"/>
    <w:rsid w:val="3CCDA81B"/>
    <w:rsid w:val="3CD87F61"/>
    <w:rsid w:val="3CEB3C7A"/>
    <w:rsid w:val="3CF38363"/>
    <w:rsid w:val="3CFFC2C0"/>
    <w:rsid w:val="3D18F632"/>
    <w:rsid w:val="3D1E418E"/>
    <w:rsid w:val="3D2643DC"/>
    <w:rsid w:val="3D2A11EF"/>
    <w:rsid w:val="3D5D38BF"/>
    <w:rsid w:val="3D69B4DD"/>
    <w:rsid w:val="3D6FCCD2"/>
    <w:rsid w:val="3D82DF1B"/>
    <w:rsid w:val="3D9784B5"/>
    <w:rsid w:val="3D984642"/>
    <w:rsid w:val="3DA3A6B4"/>
    <w:rsid w:val="3DB3C01F"/>
    <w:rsid w:val="3DBA21E9"/>
    <w:rsid w:val="3DD1AE10"/>
    <w:rsid w:val="3DDE3434"/>
    <w:rsid w:val="3DE53F83"/>
    <w:rsid w:val="3DEA1BBF"/>
    <w:rsid w:val="3DF4227E"/>
    <w:rsid w:val="3E1317F5"/>
    <w:rsid w:val="3E2C6C50"/>
    <w:rsid w:val="3E372881"/>
    <w:rsid w:val="3E488FE7"/>
    <w:rsid w:val="3E4E30E0"/>
    <w:rsid w:val="3E665A57"/>
    <w:rsid w:val="3E7A96B4"/>
    <w:rsid w:val="3E81624A"/>
    <w:rsid w:val="3E9E9D24"/>
    <w:rsid w:val="3EA6E110"/>
    <w:rsid w:val="3EAFD253"/>
    <w:rsid w:val="3EB08C91"/>
    <w:rsid w:val="3EB5CE4E"/>
    <w:rsid w:val="3ECCADC3"/>
    <w:rsid w:val="3ED4371A"/>
    <w:rsid w:val="3ED7AD21"/>
    <w:rsid w:val="3EE14471"/>
    <w:rsid w:val="3EE413EE"/>
    <w:rsid w:val="3F0B9F7D"/>
    <w:rsid w:val="3F1BE8A2"/>
    <w:rsid w:val="3F383093"/>
    <w:rsid w:val="3F4F70CD"/>
    <w:rsid w:val="3F5C60A0"/>
    <w:rsid w:val="3F5DC68F"/>
    <w:rsid w:val="3F6F967E"/>
    <w:rsid w:val="3F7E01EC"/>
    <w:rsid w:val="3FABE18F"/>
    <w:rsid w:val="3FBAB664"/>
    <w:rsid w:val="3FD47AAE"/>
    <w:rsid w:val="3FEF7209"/>
    <w:rsid w:val="3FF42734"/>
    <w:rsid w:val="3FF8798F"/>
    <w:rsid w:val="4001F81A"/>
    <w:rsid w:val="4023AAF5"/>
    <w:rsid w:val="40289F5A"/>
    <w:rsid w:val="40498626"/>
    <w:rsid w:val="4051F7F6"/>
    <w:rsid w:val="4067ABDD"/>
    <w:rsid w:val="407EFB9B"/>
    <w:rsid w:val="408F423C"/>
    <w:rsid w:val="4097C8F2"/>
    <w:rsid w:val="409C9801"/>
    <w:rsid w:val="40C21F19"/>
    <w:rsid w:val="40F69885"/>
    <w:rsid w:val="4123093F"/>
    <w:rsid w:val="412FE453"/>
    <w:rsid w:val="4130936E"/>
    <w:rsid w:val="413348EB"/>
    <w:rsid w:val="4137201F"/>
    <w:rsid w:val="414398E7"/>
    <w:rsid w:val="41869791"/>
    <w:rsid w:val="418E80B6"/>
    <w:rsid w:val="419D2A4E"/>
    <w:rsid w:val="41A67677"/>
    <w:rsid w:val="41C18B8A"/>
    <w:rsid w:val="41C9CEC6"/>
    <w:rsid w:val="41FC1D88"/>
    <w:rsid w:val="420E15EC"/>
    <w:rsid w:val="422337C1"/>
    <w:rsid w:val="422D544F"/>
    <w:rsid w:val="423106F5"/>
    <w:rsid w:val="423C8E92"/>
    <w:rsid w:val="426A714C"/>
    <w:rsid w:val="42789328"/>
    <w:rsid w:val="428A82E3"/>
    <w:rsid w:val="42B48C8A"/>
    <w:rsid w:val="42B4CE1F"/>
    <w:rsid w:val="42B7D95D"/>
    <w:rsid w:val="42B7ECCE"/>
    <w:rsid w:val="42D140AD"/>
    <w:rsid w:val="42D31CB6"/>
    <w:rsid w:val="42E7818E"/>
    <w:rsid w:val="42EB2D9C"/>
    <w:rsid w:val="43207CF0"/>
    <w:rsid w:val="4324BBCF"/>
    <w:rsid w:val="43373825"/>
    <w:rsid w:val="433E0477"/>
    <w:rsid w:val="4360B7A7"/>
    <w:rsid w:val="43621995"/>
    <w:rsid w:val="437DB710"/>
    <w:rsid w:val="439CB96A"/>
    <w:rsid w:val="43B91494"/>
    <w:rsid w:val="43BCFCF7"/>
    <w:rsid w:val="43CE9CA7"/>
    <w:rsid w:val="43DBDCCF"/>
    <w:rsid w:val="43DCA9FE"/>
    <w:rsid w:val="43E0C546"/>
    <w:rsid w:val="43E25784"/>
    <w:rsid w:val="43F1FF09"/>
    <w:rsid w:val="43F8F626"/>
    <w:rsid w:val="44040A03"/>
    <w:rsid w:val="44252C32"/>
    <w:rsid w:val="4434003E"/>
    <w:rsid w:val="444B4A9E"/>
    <w:rsid w:val="44589172"/>
    <w:rsid w:val="44703279"/>
    <w:rsid w:val="44AA2055"/>
    <w:rsid w:val="44AE472B"/>
    <w:rsid w:val="44BEAF21"/>
    <w:rsid w:val="44EA8F64"/>
    <w:rsid w:val="44F0420D"/>
    <w:rsid w:val="44FFE25C"/>
    <w:rsid w:val="450F62A7"/>
    <w:rsid w:val="452883F6"/>
    <w:rsid w:val="4536384E"/>
    <w:rsid w:val="454D5BCC"/>
    <w:rsid w:val="455C16DE"/>
    <w:rsid w:val="4583ABF5"/>
    <w:rsid w:val="4597413B"/>
    <w:rsid w:val="45CFD1EC"/>
    <w:rsid w:val="45ED6CA7"/>
    <w:rsid w:val="45F6E29F"/>
    <w:rsid w:val="46089447"/>
    <w:rsid w:val="460B71A3"/>
    <w:rsid w:val="460C3109"/>
    <w:rsid w:val="461EC1EC"/>
    <w:rsid w:val="462540F3"/>
    <w:rsid w:val="46271E2B"/>
    <w:rsid w:val="4630A0C6"/>
    <w:rsid w:val="463AE500"/>
    <w:rsid w:val="46543D03"/>
    <w:rsid w:val="4654E5F6"/>
    <w:rsid w:val="4659692E"/>
    <w:rsid w:val="4669E26D"/>
    <w:rsid w:val="46B3ACA8"/>
    <w:rsid w:val="46C9D634"/>
    <w:rsid w:val="46CE95DD"/>
    <w:rsid w:val="46D05F8C"/>
    <w:rsid w:val="46FBA32C"/>
    <w:rsid w:val="46FE0658"/>
    <w:rsid w:val="473820F2"/>
    <w:rsid w:val="47489D26"/>
    <w:rsid w:val="475156B4"/>
    <w:rsid w:val="47566080"/>
    <w:rsid w:val="4757F1FD"/>
    <w:rsid w:val="475D4888"/>
    <w:rsid w:val="476B93D6"/>
    <w:rsid w:val="47889070"/>
    <w:rsid w:val="478AA572"/>
    <w:rsid w:val="4798ABD6"/>
    <w:rsid w:val="47BA9BE5"/>
    <w:rsid w:val="47DDE96D"/>
    <w:rsid w:val="47E19BD6"/>
    <w:rsid w:val="47F3672A"/>
    <w:rsid w:val="47F85B1D"/>
    <w:rsid w:val="480983F3"/>
    <w:rsid w:val="4838A7DB"/>
    <w:rsid w:val="483EFDDF"/>
    <w:rsid w:val="48572E5E"/>
    <w:rsid w:val="4876F6A2"/>
    <w:rsid w:val="4893B7A0"/>
    <w:rsid w:val="4897638C"/>
    <w:rsid w:val="48A3306B"/>
    <w:rsid w:val="48A36C86"/>
    <w:rsid w:val="48B0E56D"/>
    <w:rsid w:val="48C3FACD"/>
    <w:rsid w:val="48C6566C"/>
    <w:rsid w:val="48CBD117"/>
    <w:rsid w:val="490936AD"/>
    <w:rsid w:val="4912DE0D"/>
    <w:rsid w:val="49340159"/>
    <w:rsid w:val="4947E3D0"/>
    <w:rsid w:val="494E9872"/>
    <w:rsid w:val="4953ED06"/>
    <w:rsid w:val="4954056E"/>
    <w:rsid w:val="49603AC5"/>
    <w:rsid w:val="49644EED"/>
    <w:rsid w:val="49651B18"/>
    <w:rsid w:val="496C8136"/>
    <w:rsid w:val="497BFAFB"/>
    <w:rsid w:val="49A79A01"/>
    <w:rsid w:val="49ADE02F"/>
    <w:rsid w:val="49BE3E9F"/>
    <w:rsid w:val="49C04266"/>
    <w:rsid w:val="49DBF446"/>
    <w:rsid w:val="49E54B2E"/>
    <w:rsid w:val="49EAC324"/>
    <w:rsid w:val="49F85351"/>
    <w:rsid w:val="49FE7D62"/>
    <w:rsid w:val="4A105E58"/>
    <w:rsid w:val="4A48EFBD"/>
    <w:rsid w:val="4A5D1FA7"/>
    <w:rsid w:val="4A71348C"/>
    <w:rsid w:val="4A764339"/>
    <w:rsid w:val="4A9D1813"/>
    <w:rsid w:val="4AA4213D"/>
    <w:rsid w:val="4AFD5660"/>
    <w:rsid w:val="4B21438E"/>
    <w:rsid w:val="4B2987E9"/>
    <w:rsid w:val="4B29F12B"/>
    <w:rsid w:val="4B5307A4"/>
    <w:rsid w:val="4B642941"/>
    <w:rsid w:val="4B6C1F18"/>
    <w:rsid w:val="4B76007C"/>
    <w:rsid w:val="4B76C842"/>
    <w:rsid w:val="4B9BD471"/>
    <w:rsid w:val="4BA114EA"/>
    <w:rsid w:val="4BA604EA"/>
    <w:rsid w:val="4BB4955D"/>
    <w:rsid w:val="4BD4410C"/>
    <w:rsid w:val="4BE9CBE9"/>
    <w:rsid w:val="4BEEB5CE"/>
    <w:rsid w:val="4BFACCC4"/>
    <w:rsid w:val="4BFD629B"/>
    <w:rsid w:val="4C03334E"/>
    <w:rsid w:val="4C04D1C0"/>
    <w:rsid w:val="4C221255"/>
    <w:rsid w:val="4C250514"/>
    <w:rsid w:val="4C284059"/>
    <w:rsid w:val="4C5B5409"/>
    <w:rsid w:val="4C5F14F4"/>
    <w:rsid w:val="4C8F0C8C"/>
    <w:rsid w:val="4C9FDDAE"/>
    <w:rsid w:val="4CABC9C2"/>
    <w:rsid w:val="4CB821D6"/>
    <w:rsid w:val="4CC37078"/>
    <w:rsid w:val="4CC5C18C"/>
    <w:rsid w:val="4CC80ADD"/>
    <w:rsid w:val="4CCBED10"/>
    <w:rsid w:val="4CD6C3CA"/>
    <w:rsid w:val="4CDE46CF"/>
    <w:rsid w:val="4CF98ACC"/>
    <w:rsid w:val="4CFCED59"/>
    <w:rsid w:val="4D24257C"/>
    <w:rsid w:val="4D2ADA5F"/>
    <w:rsid w:val="4D2D6533"/>
    <w:rsid w:val="4D30C59C"/>
    <w:rsid w:val="4D498C69"/>
    <w:rsid w:val="4D541D6A"/>
    <w:rsid w:val="4D616F68"/>
    <w:rsid w:val="4D656F11"/>
    <w:rsid w:val="4D8906BE"/>
    <w:rsid w:val="4D8BCE5F"/>
    <w:rsid w:val="4D9E0858"/>
    <w:rsid w:val="4DB37B55"/>
    <w:rsid w:val="4DB75B18"/>
    <w:rsid w:val="4DB7B366"/>
    <w:rsid w:val="4DBACC4C"/>
    <w:rsid w:val="4DC614B2"/>
    <w:rsid w:val="4DE9632D"/>
    <w:rsid w:val="4DEAE739"/>
    <w:rsid w:val="4DEC8ABA"/>
    <w:rsid w:val="4DF7246A"/>
    <w:rsid w:val="4E015E75"/>
    <w:rsid w:val="4E027FE5"/>
    <w:rsid w:val="4E1608BE"/>
    <w:rsid w:val="4E1843B3"/>
    <w:rsid w:val="4E24CFD5"/>
    <w:rsid w:val="4E251215"/>
    <w:rsid w:val="4E52FCF5"/>
    <w:rsid w:val="4E5B8AA7"/>
    <w:rsid w:val="4E63241D"/>
    <w:rsid w:val="4E66FD87"/>
    <w:rsid w:val="4EAFAE47"/>
    <w:rsid w:val="4EBF477A"/>
    <w:rsid w:val="4EC79477"/>
    <w:rsid w:val="4EC80396"/>
    <w:rsid w:val="4EE0258D"/>
    <w:rsid w:val="4EF7F2C6"/>
    <w:rsid w:val="4F0FBC23"/>
    <w:rsid w:val="4F2AE202"/>
    <w:rsid w:val="4F318E5A"/>
    <w:rsid w:val="4F343547"/>
    <w:rsid w:val="4F5B0FA5"/>
    <w:rsid w:val="4F659EDA"/>
    <w:rsid w:val="4FA2282C"/>
    <w:rsid w:val="4FAD3ABD"/>
    <w:rsid w:val="4FDD9B5A"/>
    <w:rsid w:val="4FDFCC9B"/>
    <w:rsid w:val="4FEBAEA0"/>
    <w:rsid w:val="5003A2C7"/>
    <w:rsid w:val="50071BBC"/>
    <w:rsid w:val="50188B1E"/>
    <w:rsid w:val="501F84FB"/>
    <w:rsid w:val="50355B5D"/>
    <w:rsid w:val="503A7A26"/>
    <w:rsid w:val="503DD251"/>
    <w:rsid w:val="505E230C"/>
    <w:rsid w:val="505E8CCF"/>
    <w:rsid w:val="508F3BA8"/>
    <w:rsid w:val="509BCE1D"/>
    <w:rsid w:val="50B9B702"/>
    <w:rsid w:val="50C792CA"/>
    <w:rsid w:val="50CC047E"/>
    <w:rsid w:val="50CC7641"/>
    <w:rsid w:val="50D6A471"/>
    <w:rsid w:val="50E8ABD6"/>
    <w:rsid w:val="51067440"/>
    <w:rsid w:val="511FA43D"/>
    <w:rsid w:val="51422575"/>
    <w:rsid w:val="514512AF"/>
    <w:rsid w:val="51490029"/>
    <w:rsid w:val="51642569"/>
    <w:rsid w:val="516D489D"/>
    <w:rsid w:val="517CE310"/>
    <w:rsid w:val="519A9E88"/>
    <w:rsid w:val="51C0D235"/>
    <w:rsid w:val="51C30142"/>
    <w:rsid w:val="51D1FE03"/>
    <w:rsid w:val="51D34C8F"/>
    <w:rsid w:val="51F6AC2F"/>
    <w:rsid w:val="5214D91D"/>
    <w:rsid w:val="521C78A8"/>
    <w:rsid w:val="522B0C09"/>
    <w:rsid w:val="52369AB9"/>
    <w:rsid w:val="5242655E"/>
    <w:rsid w:val="5248A916"/>
    <w:rsid w:val="52563E8B"/>
    <w:rsid w:val="525ECB4B"/>
    <w:rsid w:val="529BD89C"/>
    <w:rsid w:val="52D3F296"/>
    <w:rsid w:val="52E70487"/>
    <w:rsid w:val="52F9F22C"/>
    <w:rsid w:val="5315BA4A"/>
    <w:rsid w:val="531843A5"/>
    <w:rsid w:val="531BC07B"/>
    <w:rsid w:val="531EF13F"/>
    <w:rsid w:val="532A2CC0"/>
    <w:rsid w:val="532B47A0"/>
    <w:rsid w:val="53410E00"/>
    <w:rsid w:val="53670800"/>
    <w:rsid w:val="5392A8ED"/>
    <w:rsid w:val="53B4038E"/>
    <w:rsid w:val="53D5F58C"/>
    <w:rsid w:val="53E59006"/>
    <w:rsid w:val="53F40BFB"/>
    <w:rsid w:val="5411D4F5"/>
    <w:rsid w:val="541D0E48"/>
    <w:rsid w:val="54249E99"/>
    <w:rsid w:val="542CF6F5"/>
    <w:rsid w:val="543024A8"/>
    <w:rsid w:val="543D3B7C"/>
    <w:rsid w:val="54406754"/>
    <w:rsid w:val="5448A7DE"/>
    <w:rsid w:val="5458B9F5"/>
    <w:rsid w:val="5484C3FD"/>
    <w:rsid w:val="548BA431"/>
    <w:rsid w:val="54A0C289"/>
    <w:rsid w:val="54A13329"/>
    <w:rsid w:val="54A453C9"/>
    <w:rsid w:val="54A93B81"/>
    <w:rsid w:val="54D23423"/>
    <w:rsid w:val="54D728C7"/>
    <w:rsid w:val="54F0D8D8"/>
    <w:rsid w:val="54F91F76"/>
    <w:rsid w:val="5508B363"/>
    <w:rsid w:val="55102127"/>
    <w:rsid w:val="55267AED"/>
    <w:rsid w:val="552DDF4E"/>
    <w:rsid w:val="552EE352"/>
    <w:rsid w:val="553B5F13"/>
    <w:rsid w:val="553E756E"/>
    <w:rsid w:val="5541056A"/>
    <w:rsid w:val="5550512B"/>
    <w:rsid w:val="555B5BFE"/>
    <w:rsid w:val="555D0EFA"/>
    <w:rsid w:val="556965F5"/>
    <w:rsid w:val="55999CC8"/>
    <w:rsid w:val="55A2F6D0"/>
    <w:rsid w:val="55BB0F8C"/>
    <w:rsid w:val="55DF8AA9"/>
    <w:rsid w:val="55F23969"/>
    <w:rsid w:val="562CDB32"/>
    <w:rsid w:val="562FAE85"/>
    <w:rsid w:val="56542385"/>
    <w:rsid w:val="567818B1"/>
    <w:rsid w:val="56947904"/>
    <w:rsid w:val="56B48F41"/>
    <w:rsid w:val="56BD23CA"/>
    <w:rsid w:val="56C92F44"/>
    <w:rsid w:val="56CFED22"/>
    <w:rsid w:val="56D430F0"/>
    <w:rsid w:val="56EC132A"/>
    <w:rsid w:val="56FB40B8"/>
    <w:rsid w:val="57030762"/>
    <w:rsid w:val="57050A71"/>
    <w:rsid w:val="57053656"/>
    <w:rsid w:val="572DEB1E"/>
    <w:rsid w:val="573CA03F"/>
    <w:rsid w:val="5742E9F2"/>
    <w:rsid w:val="57461AD6"/>
    <w:rsid w:val="575DA8D2"/>
    <w:rsid w:val="575DD835"/>
    <w:rsid w:val="5763ADA7"/>
    <w:rsid w:val="5766A6ED"/>
    <w:rsid w:val="5767B0FD"/>
    <w:rsid w:val="5778D1F5"/>
    <w:rsid w:val="5785EDA5"/>
    <w:rsid w:val="5790A2A2"/>
    <w:rsid w:val="57A112B3"/>
    <w:rsid w:val="57BA15A6"/>
    <w:rsid w:val="57C15450"/>
    <w:rsid w:val="57D33528"/>
    <w:rsid w:val="57D3D485"/>
    <w:rsid w:val="57D49DA9"/>
    <w:rsid w:val="57EEC225"/>
    <w:rsid w:val="57FD9DE3"/>
    <w:rsid w:val="5811A986"/>
    <w:rsid w:val="5819F912"/>
    <w:rsid w:val="5825A962"/>
    <w:rsid w:val="5831E4D6"/>
    <w:rsid w:val="58460E85"/>
    <w:rsid w:val="587290BF"/>
    <w:rsid w:val="58789CC5"/>
    <w:rsid w:val="588935FD"/>
    <w:rsid w:val="58A106B7"/>
    <w:rsid w:val="58A9BB31"/>
    <w:rsid w:val="58BB9238"/>
    <w:rsid w:val="58BD315A"/>
    <w:rsid w:val="58CE59F0"/>
    <w:rsid w:val="58DC566E"/>
    <w:rsid w:val="58DD704E"/>
    <w:rsid w:val="58F202A3"/>
    <w:rsid w:val="590D2633"/>
    <w:rsid w:val="5929E6F6"/>
    <w:rsid w:val="5937261C"/>
    <w:rsid w:val="593D98C8"/>
    <w:rsid w:val="59710D42"/>
    <w:rsid w:val="5980AD3E"/>
    <w:rsid w:val="59963CA6"/>
    <w:rsid w:val="599667D0"/>
    <w:rsid w:val="599839B1"/>
    <w:rsid w:val="599DE171"/>
    <w:rsid w:val="59AA2C03"/>
    <w:rsid w:val="59C5A4AA"/>
    <w:rsid w:val="59E336BE"/>
    <w:rsid w:val="59E3727D"/>
    <w:rsid w:val="5A2A2BB2"/>
    <w:rsid w:val="5A31C264"/>
    <w:rsid w:val="5A3A9791"/>
    <w:rsid w:val="5A3CB31C"/>
    <w:rsid w:val="5A63289B"/>
    <w:rsid w:val="5A63B301"/>
    <w:rsid w:val="5A9A2B1E"/>
    <w:rsid w:val="5A9E4F38"/>
    <w:rsid w:val="5ABA6CD3"/>
    <w:rsid w:val="5AD7D334"/>
    <w:rsid w:val="5AEDF431"/>
    <w:rsid w:val="5AF2A8CB"/>
    <w:rsid w:val="5B0EBD38"/>
    <w:rsid w:val="5B104DFC"/>
    <w:rsid w:val="5B17E0D3"/>
    <w:rsid w:val="5B280D6E"/>
    <w:rsid w:val="5B2B8BBF"/>
    <w:rsid w:val="5B3BCB64"/>
    <w:rsid w:val="5B48DA75"/>
    <w:rsid w:val="5B60F015"/>
    <w:rsid w:val="5B6D1A70"/>
    <w:rsid w:val="5BA54A33"/>
    <w:rsid w:val="5BCEB1DB"/>
    <w:rsid w:val="5BD07457"/>
    <w:rsid w:val="5BF2295B"/>
    <w:rsid w:val="5BF76CF0"/>
    <w:rsid w:val="5C07B711"/>
    <w:rsid w:val="5C152F25"/>
    <w:rsid w:val="5C17F627"/>
    <w:rsid w:val="5C231625"/>
    <w:rsid w:val="5C278F4A"/>
    <w:rsid w:val="5C3E569B"/>
    <w:rsid w:val="5C679803"/>
    <w:rsid w:val="5C8ADAE9"/>
    <w:rsid w:val="5C911064"/>
    <w:rsid w:val="5CA0BFB9"/>
    <w:rsid w:val="5CA2B80D"/>
    <w:rsid w:val="5CBB2E86"/>
    <w:rsid w:val="5CBF6149"/>
    <w:rsid w:val="5CC41DC4"/>
    <w:rsid w:val="5CCEAED4"/>
    <w:rsid w:val="5CD04665"/>
    <w:rsid w:val="5CEB6B7A"/>
    <w:rsid w:val="5CF7CBCD"/>
    <w:rsid w:val="5CFF5E82"/>
    <w:rsid w:val="5D027174"/>
    <w:rsid w:val="5D0F5BCD"/>
    <w:rsid w:val="5D194051"/>
    <w:rsid w:val="5D390651"/>
    <w:rsid w:val="5D3EFBCC"/>
    <w:rsid w:val="5D40165E"/>
    <w:rsid w:val="5D4AD33C"/>
    <w:rsid w:val="5D550E73"/>
    <w:rsid w:val="5D576602"/>
    <w:rsid w:val="5D6A2FF8"/>
    <w:rsid w:val="5D780386"/>
    <w:rsid w:val="5D850F04"/>
    <w:rsid w:val="5D8EEAD2"/>
    <w:rsid w:val="5D9BBE78"/>
    <w:rsid w:val="5DC573C6"/>
    <w:rsid w:val="5DD9A2A5"/>
    <w:rsid w:val="5DE43E6E"/>
    <w:rsid w:val="5DF868D2"/>
    <w:rsid w:val="5E2F607F"/>
    <w:rsid w:val="5E32DEA5"/>
    <w:rsid w:val="5E59A1D6"/>
    <w:rsid w:val="5E60E2C4"/>
    <w:rsid w:val="5E64C0F0"/>
    <w:rsid w:val="5E932971"/>
    <w:rsid w:val="5E94D464"/>
    <w:rsid w:val="5E998ECC"/>
    <w:rsid w:val="5E9FA4B6"/>
    <w:rsid w:val="5EAB4672"/>
    <w:rsid w:val="5EB1528F"/>
    <w:rsid w:val="5EB2968C"/>
    <w:rsid w:val="5EB37BE2"/>
    <w:rsid w:val="5EC486F5"/>
    <w:rsid w:val="5EC92083"/>
    <w:rsid w:val="5EDAFF07"/>
    <w:rsid w:val="5EDE5AC7"/>
    <w:rsid w:val="5EF33663"/>
    <w:rsid w:val="5F027923"/>
    <w:rsid w:val="5F11555A"/>
    <w:rsid w:val="5F1C8347"/>
    <w:rsid w:val="5F2BC140"/>
    <w:rsid w:val="5F319404"/>
    <w:rsid w:val="5F35BA10"/>
    <w:rsid w:val="5F623D1C"/>
    <w:rsid w:val="5F70A257"/>
    <w:rsid w:val="5F7293B6"/>
    <w:rsid w:val="5F753218"/>
    <w:rsid w:val="5F82B20E"/>
    <w:rsid w:val="5F877F41"/>
    <w:rsid w:val="5FA3B79B"/>
    <w:rsid w:val="5FADF9AA"/>
    <w:rsid w:val="5FAE3C10"/>
    <w:rsid w:val="5FB049DE"/>
    <w:rsid w:val="5FD21049"/>
    <w:rsid w:val="5FDA760C"/>
    <w:rsid w:val="5FE5FE70"/>
    <w:rsid w:val="5FF7D14C"/>
    <w:rsid w:val="5FF9D40A"/>
    <w:rsid w:val="6006F906"/>
    <w:rsid w:val="6016B563"/>
    <w:rsid w:val="60220380"/>
    <w:rsid w:val="602B6E1B"/>
    <w:rsid w:val="6043D5D5"/>
    <w:rsid w:val="60473888"/>
    <w:rsid w:val="6050EFAE"/>
    <w:rsid w:val="605871AC"/>
    <w:rsid w:val="605B3B2D"/>
    <w:rsid w:val="60659624"/>
    <w:rsid w:val="6091A8F7"/>
    <w:rsid w:val="60E5EAFD"/>
    <w:rsid w:val="60F2B23E"/>
    <w:rsid w:val="610AA42A"/>
    <w:rsid w:val="612B5BF2"/>
    <w:rsid w:val="6137F166"/>
    <w:rsid w:val="61459FD4"/>
    <w:rsid w:val="61503712"/>
    <w:rsid w:val="616D4664"/>
    <w:rsid w:val="6170149B"/>
    <w:rsid w:val="617C7C0E"/>
    <w:rsid w:val="617C88BA"/>
    <w:rsid w:val="619404CD"/>
    <w:rsid w:val="61A48029"/>
    <w:rsid w:val="61A75399"/>
    <w:rsid w:val="61C0AA0F"/>
    <w:rsid w:val="61D49B61"/>
    <w:rsid w:val="61DD7D28"/>
    <w:rsid w:val="61E59009"/>
    <w:rsid w:val="6206A7F2"/>
    <w:rsid w:val="6207FEA2"/>
    <w:rsid w:val="62125A21"/>
    <w:rsid w:val="622542DC"/>
    <w:rsid w:val="622AD725"/>
    <w:rsid w:val="62384CBD"/>
    <w:rsid w:val="6249FAD0"/>
    <w:rsid w:val="62545D68"/>
    <w:rsid w:val="627FBC8C"/>
    <w:rsid w:val="6287535A"/>
    <w:rsid w:val="628C9CB4"/>
    <w:rsid w:val="62B88CA9"/>
    <w:rsid w:val="62F801E4"/>
    <w:rsid w:val="62FA6397"/>
    <w:rsid w:val="6310B310"/>
    <w:rsid w:val="6329E826"/>
    <w:rsid w:val="632C95D7"/>
    <w:rsid w:val="633D60BD"/>
    <w:rsid w:val="633EFCF5"/>
    <w:rsid w:val="6345CA05"/>
    <w:rsid w:val="6370F537"/>
    <w:rsid w:val="637DD69F"/>
    <w:rsid w:val="638EB4BA"/>
    <w:rsid w:val="63983EF5"/>
    <w:rsid w:val="639A2341"/>
    <w:rsid w:val="63A08F7B"/>
    <w:rsid w:val="63CF7323"/>
    <w:rsid w:val="63D2584D"/>
    <w:rsid w:val="63D442E5"/>
    <w:rsid w:val="63D4DC0D"/>
    <w:rsid w:val="63DB533A"/>
    <w:rsid w:val="63F3CDFF"/>
    <w:rsid w:val="64132CA3"/>
    <w:rsid w:val="641CD9A7"/>
    <w:rsid w:val="64317725"/>
    <w:rsid w:val="64527001"/>
    <w:rsid w:val="64666E5B"/>
    <w:rsid w:val="64683588"/>
    <w:rsid w:val="646A062A"/>
    <w:rsid w:val="64950E9C"/>
    <w:rsid w:val="64A80B11"/>
    <w:rsid w:val="64AE5E17"/>
    <w:rsid w:val="64B34F30"/>
    <w:rsid w:val="64CDC16A"/>
    <w:rsid w:val="64D407E4"/>
    <w:rsid w:val="64D415AD"/>
    <w:rsid w:val="64E19A66"/>
    <w:rsid w:val="6513501A"/>
    <w:rsid w:val="65586128"/>
    <w:rsid w:val="656AA9AF"/>
    <w:rsid w:val="657394D8"/>
    <w:rsid w:val="6579CE24"/>
    <w:rsid w:val="6593BC99"/>
    <w:rsid w:val="65D1329C"/>
    <w:rsid w:val="65E38DE9"/>
    <w:rsid w:val="65F8A727"/>
    <w:rsid w:val="65FBA7EF"/>
    <w:rsid w:val="660A2028"/>
    <w:rsid w:val="6625C46E"/>
    <w:rsid w:val="66369675"/>
    <w:rsid w:val="664E293F"/>
    <w:rsid w:val="664F17C4"/>
    <w:rsid w:val="668B2DB6"/>
    <w:rsid w:val="668FC025"/>
    <w:rsid w:val="66A47806"/>
    <w:rsid w:val="66BEF9D3"/>
    <w:rsid w:val="66D006B5"/>
    <w:rsid w:val="66E83B05"/>
    <w:rsid w:val="672E5E16"/>
    <w:rsid w:val="67324E1B"/>
    <w:rsid w:val="674DB636"/>
    <w:rsid w:val="67663AB7"/>
    <w:rsid w:val="67910D15"/>
    <w:rsid w:val="67A46264"/>
    <w:rsid w:val="67ACFE21"/>
    <w:rsid w:val="67C0859B"/>
    <w:rsid w:val="67C4F6EF"/>
    <w:rsid w:val="67D9D3DF"/>
    <w:rsid w:val="67EA62E4"/>
    <w:rsid w:val="67F16E4F"/>
    <w:rsid w:val="67F7E494"/>
    <w:rsid w:val="67F83CBF"/>
    <w:rsid w:val="6802F6C4"/>
    <w:rsid w:val="6815C830"/>
    <w:rsid w:val="6825D6BF"/>
    <w:rsid w:val="683663B1"/>
    <w:rsid w:val="683A3D5F"/>
    <w:rsid w:val="685958AA"/>
    <w:rsid w:val="685F8AA3"/>
    <w:rsid w:val="68983082"/>
    <w:rsid w:val="68A28A82"/>
    <w:rsid w:val="68A6C9A7"/>
    <w:rsid w:val="68BAFC9D"/>
    <w:rsid w:val="690FBC66"/>
    <w:rsid w:val="69292C37"/>
    <w:rsid w:val="692B4D94"/>
    <w:rsid w:val="693A3059"/>
    <w:rsid w:val="693B51B2"/>
    <w:rsid w:val="6948CE82"/>
    <w:rsid w:val="69615812"/>
    <w:rsid w:val="698157D4"/>
    <w:rsid w:val="6985CFC9"/>
    <w:rsid w:val="69880DEE"/>
    <w:rsid w:val="6A26F9E9"/>
    <w:rsid w:val="6A32068A"/>
    <w:rsid w:val="6A4480C1"/>
    <w:rsid w:val="6A44DB63"/>
    <w:rsid w:val="6AD7BFC0"/>
    <w:rsid w:val="6AEAE3F6"/>
    <w:rsid w:val="6AF73405"/>
    <w:rsid w:val="6B0025FD"/>
    <w:rsid w:val="6B249226"/>
    <w:rsid w:val="6B2C11B3"/>
    <w:rsid w:val="6B447203"/>
    <w:rsid w:val="6B4B11E9"/>
    <w:rsid w:val="6B698DAC"/>
    <w:rsid w:val="6B72BFE9"/>
    <w:rsid w:val="6B7A80EC"/>
    <w:rsid w:val="6B84811C"/>
    <w:rsid w:val="6B879133"/>
    <w:rsid w:val="6B9498C2"/>
    <w:rsid w:val="6B96DBF1"/>
    <w:rsid w:val="6BAFB395"/>
    <w:rsid w:val="6BBB5F28"/>
    <w:rsid w:val="6BE0ABC4"/>
    <w:rsid w:val="6BE54A26"/>
    <w:rsid w:val="6BFC1FE7"/>
    <w:rsid w:val="6C0EEEA4"/>
    <w:rsid w:val="6C1FE1C3"/>
    <w:rsid w:val="6C476687"/>
    <w:rsid w:val="6C63C5C8"/>
    <w:rsid w:val="6C805484"/>
    <w:rsid w:val="6C8CF4A5"/>
    <w:rsid w:val="6C8F5B85"/>
    <w:rsid w:val="6CA27777"/>
    <w:rsid w:val="6CAE540C"/>
    <w:rsid w:val="6CBB731A"/>
    <w:rsid w:val="6CC965D9"/>
    <w:rsid w:val="6CED96DE"/>
    <w:rsid w:val="6CFDDEC2"/>
    <w:rsid w:val="6D056B85"/>
    <w:rsid w:val="6D09639F"/>
    <w:rsid w:val="6D09D4D4"/>
    <w:rsid w:val="6D13A170"/>
    <w:rsid w:val="6D482DC7"/>
    <w:rsid w:val="6D577C89"/>
    <w:rsid w:val="6D6A0B40"/>
    <w:rsid w:val="6D811A87"/>
    <w:rsid w:val="6DAD364B"/>
    <w:rsid w:val="6DB39143"/>
    <w:rsid w:val="6DD81895"/>
    <w:rsid w:val="6E0EC2D5"/>
    <w:rsid w:val="6E1590E1"/>
    <w:rsid w:val="6E1B07B8"/>
    <w:rsid w:val="6E3EA813"/>
    <w:rsid w:val="6E4A246D"/>
    <w:rsid w:val="6E571EFA"/>
    <w:rsid w:val="6E6A66A5"/>
    <w:rsid w:val="6E6F28E9"/>
    <w:rsid w:val="6E7C9EAA"/>
    <w:rsid w:val="6E82BB17"/>
    <w:rsid w:val="6EC47FA1"/>
    <w:rsid w:val="6EC56099"/>
    <w:rsid w:val="6ECCDA52"/>
    <w:rsid w:val="6ED65F53"/>
    <w:rsid w:val="6EFCA88C"/>
    <w:rsid w:val="6F1CEAE8"/>
    <w:rsid w:val="6F1DB86F"/>
    <w:rsid w:val="6F6B104D"/>
    <w:rsid w:val="6F7C32EE"/>
    <w:rsid w:val="6F8F34A2"/>
    <w:rsid w:val="6FC6734C"/>
    <w:rsid w:val="6FD97676"/>
    <w:rsid w:val="6FE41A85"/>
    <w:rsid w:val="7009F8D6"/>
    <w:rsid w:val="70283E6B"/>
    <w:rsid w:val="704B07D7"/>
    <w:rsid w:val="7059BD0C"/>
    <w:rsid w:val="706705F4"/>
    <w:rsid w:val="70A6C614"/>
    <w:rsid w:val="70C25EB8"/>
    <w:rsid w:val="70E7536B"/>
    <w:rsid w:val="710A97EC"/>
    <w:rsid w:val="7115F852"/>
    <w:rsid w:val="714EF6B3"/>
    <w:rsid w:val="714F0A0B"/>
    <w:rsid w:val="7167AA55"/>
    <w:rsid w:val="716A51F3"/>
    <w:rsid w:val="7192E15E"/>
    <w:rsid w:val="719647DA"/>
    <w:rsid w:val="71A38023"/>
    <w:rsid w:val="71B23D3B"/>
    <w:rsid w:val="71B7ED39"/>
    <w:rsid w:val="71CCB71A"/>
    <w:rsid w:val="71DB9E0F"/>
    <w:rsid w:val="720730B5"/>
    <w:rsid w:val="7213CA25"/>
    <w:rsid w:val="72333BA4"/>
    <w:rsid w:val="72406487"/>
    <w:rsid w:val="7254AA84"/>
    <w:rsid w:val="72C8D297"/>
    <w:rsid w:val="72FC1708"/>
    <w:rsid w:val="73087F16"/>
    <w:rsid w:val="7308B211"/>
    <w:rsid w:val="73154015"/>
    <w:rsid w:val="731ED099"/>
    <w:rsid w:val="732B75F7"/>
    <w:rsid w:val="7330A262"/>
    <w:rsid w:val="7334E5E9"/>
    <w:rsid w:val="73530B51"/>
    <w:rsid w:val="7357E0F8"/>
    <w:rsid w:val="7376714C"/>
    <w:rsid w:val="7392CC99"/>
    <w:rsid w:val="739D5050"/>
    <w:rsid w:val="73C0F938"/>
    <w:rsid w:val="74120329"/>
    <w:rsid w:val="74289470"/>
    <w:rsid w:val="7443E431"/>
    <w:rsid w:val="745381C5"/>
    <w:rsid w:val="7454C1CD"/>
    <w:rsid w:val="74630F2F"/>
    <w:rsid w:val="74670455"/>
    <w:rsid w:val="748F598C"/>
    <w:rsid w:val="749065DD"/>
    <w:rsid w:val="74950E73"/>
    <w:rsid w:val="74969B54"/>
    <w:rsid w:val="74A23C0D"/>
    <w:rsid w:val="74C800BD"/>
    <w:rsid w:val="74D8076A"/>
    <w:rsid w:val="74E125F8"/>
    <w:rsid w:val="74E6DE7F"/>
    <w:rsid w:val="74FF7A46"/>
    <w:rsid w:val="75054234"/>
    <w:rsid w:val="751B7375"/>
    <w:rsid w:val="7527FE83"/>
    <w:rsid w:val="75327DCD"/>
    <w:rsid w:val="7556B953"/>
    <w:rsid w:val="755A207D"/>
    <w:rsid w:val="75608B21"/>
    <w:rsid w:val="757575A5"/>
    <w:rsid w:val="7577CF21"/>
    <w:rsid w:val="759A4868"/>
    <w:rsid w:val="759B840E"/>
    <w:rsid w:val="759EAFD2"/>
    <w:rsid w:val="75A65DDE"/>
    <w:rsid w:val="75A7E505"/>
    <w:rsid w:val="75B0522C"/>
    <w:rsid w:val="75BEEEC3"/>
    <w:rsid w:val="75C5B612"/>
    <w:rsid w:val="75D1D925"/>
    <w:rsid w:val="75D4E45F"/>
    <w:rsid w:val="75E346CE"/>
    <w:rsid w:val="75E662E2"/>
    <w:rsid w:val="75F0922E"/>
    <w:rsid w:val="75F2889E"/>
    <w:rsid w:val="76163D01"/>
    <w:rsid w:val="761BA61C"/>
    <w:rsid w:val="7636DB74"/>
    <w:rsid w:val="763CF2D6"/>
    <w:rsid w:val="76533A39"/>
    <w:rsid w:val="767AF8F9"/>
    <w:rsid w:val="769E705B"/>
    <w:rsid w:val="76A9D8FA"/>
    <w:rsid w:val="76AFCF0E"/>
    <w:rsid w:val="76D27622"/>
    <w:rsid w:val="76F9464A"/>
    <w:rsid w:val="7701B0EC"/>
    <w:rsid w:val="772C6C13"/>
    <w:rsid w:val="77300B03"/>
    <w:rsid w:val="77318657"/>
    <w:rsid w:val="7747B0FB"/>
    <w:rsid w:val="7759D1BA"/>
    <w:rsid w:val="777A63F5"/>
    <w:rsid w:val="778DBF9A"/>
    <w:rsid w:val="77CC07B8"/>
    <w:rsid w:val="77CE1258"/>
    <w:rsid w:val="77CFB67D"/>
    <w:rsid w:val="77D72245"/>
    <w:rsid w:val="77D8BC25"/>
    <w:rsid w:val="78030E18"/>
    <w:rsid w:val="78071577"/>
    <w:rsid w:val="780B13C8"/>
    <w:rsid w:val="78501284"/>
    <w:rsid w:val="785D146C"/>
    <w:rsid w:val="7860954D"/>
    <w:rsid w:val="7872319A"/>
    <w:rsid w:val="78A33896"/>
    <w:rsid w:val="78C471BE"/>
    <w:rsid w:val="78E45ED9"/>
    <w:rsid w:val="78FE6677"/>
    <w:rsid w:val="7904800D"/>
    <w:rsid w:val="79188BB0"/>
    <w:rsid w:val="79242E3F"/>
    <w:rsid w:val="7969C418"/>
    <w:rsid w:val="79AEC308"/>
    <w:rsid w:val="79B864AE"/>
    <w:rsid w:val="79C48109"/>
    <w:rsid w:val="79EB9CE9"/>
    <w:rsid w:val="79F445E2"/>
    <w:rsid w:val="7A05EBA4"/>
    <w:rsid w:val="7A25F635"/>
    <w:rsid w:val="7A402FF4"/>
    <w:rsid w:val="7A5535C1"/>
    <w:rsid w:val="7A6D5B76"/>
    <w:rsid w:val="7A74DA0F"/>
    <w:rsid w:val="7A7633BC"/>
    <w:rsid w:val="7A76994A"/>
    <w:rsid w:val="7A9174B0"/>
    <w:rsid w:val="7AB1354A"/>
    <w:rsid w:val="7AB22EC9"/>
    <w:rsid w:val="7AB382DF"/>
    <w:rsid w:val="7ACC52CC"/>
    <w:rsid w:val="7AD220DE"/>
    <w:rsid w:val="7AF25F49"/>
    <w:rsid w:val="7AF475E6"/>
    <w:rsid w:val="7B05C7B8"/>
    <w:rsid w:val="7B29F719"/>
    <w:rsid w:val="7B59AC2A"/>
    <w:rsid w:val="7B5FC36E"/>
    <w:rsid w:val="7B7FEF67"/>
    <w:rsid w:val="7B881CD3"/>
    <w:rsid w:val="7B881FAF"/>
    <w:rsid w:val="7B988F6C"/>
    <w:rsid w:val="7B99BAA6"/>
    <w:rsid w:val="7BB58067"/>
    <w:rsid w:val="7BC3E78C"/>
    <w:rsid w:val="7C0F05BC"/>
    <w:rsid w:val="7C24002F"/>
    <w:rsid w:val="7C4E9624"/>
    <w:rsid w:val="7C4F716C"/>
    <w:rsid w:val="7C4FC634"/>
    <w:rsid w:val="7C659C05"/>
    <w:rsid w:val="7C6FFBA8"/>
    <w:rsid w:val="7C844616"/>
    <w:rsid w:val="7C88C35A"/>
    <w:rsid w:val="7C8D97D0"/>
    <w:rsid w:val="7CAE2D6A"/>
    <w:rsid w:val="7CCA7613"/>
    <w:rsid w:val="7CEA9281"/>
    <w:rsid w:val="7CF6CE5E"/>
    <w:rsid w:val="7D0425A6"/>
    <w:rsid w:val="7D21293E"/>
    <w:rsid w:val="7D3A2E2D"/>
    <w:rsid w:val="7D471895"/>
    <w:rsid w:val="7D586C83"/>
    <w:rsid w:val="7D806894"/>
    <w:rsid w:val="7D860A7B"/>
    <w:rsid w:val="7D89043B"/>
    <w:rsid w:val="7D992BC7"/>
    <w:rsid w:val="7D9A1D8B"/>
    <w:rsid w:val="7DBB18BA"/>
    <w:rsid w:val="7DC69D20"/>
    <w:rsid w:val="7DDD9538"/>
    <w:rsid w:val="7DE6CEE6"/>
    <w:rsid w:val="7DFEE55E"/>
    <w:rsid w:val="7E0C3FBE"/>
    <w:rsid w:val="7E35DD71"/>
    <w:rsid w:val="7E46071A"/>
    <w:rsid w:val="7E486A93"/>
    <w:rsid w:val="7E72CD37"/>
    <w:rsid w:val="7E747430"/>
    <w:rsid w:val="7E786E7E"/>
    <w:rsid w:val="7E79750D"/>
    <w:rsid w:val="7E8713E3"/>
    <w:rsid w:val="7E880F16"/>
    <w:rsid w:val="7E8E8FF9"/>
    <w:rsid w:val="7E9E9023"/>
    <w:rsid w:val="7EA0C3FB"/>
    <w:rsid w:val="7EAA7561"/>
    <w:rsid w:val="7EB64A6C"/>
    <w:rsid w:val="7EC85283"/>
    <w:rsid w:val="7EF7B47E"/>
    <w:rsid w:val="7F0EC135"/>
    <w:rsid w:val="7F10D142"/>
    <w:rsid w:val="7F1F5633"/>
    <w:rsid w:val="7F227E80"/>
    <w:rsid w:val="7F23FFB7"/>
    <w:rsid w:val="7F3A9682"/>
    <w:rsid w:val="7F3AFC38"/>
    <w:rsid w:val="7F56219D"/>
    <w:rsid w:val="7F5845A1"/>
    <w:rsid w:val="7F6068F7"/>
    <w:rsid w:val="7F97BD3D"/>
    <w:rsid w:val="7F9B1B8C"/>
    <w:rsid w:val="7F9F5E4D"/>
    <w:rsid w:val="7FB7DE62"/>
    <w:rsid w:val="7FE5CE2C"/>
    <w:rsid w:val="7FE63D9D"/>
    <w:rsid w:val="7FECE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4DB2"/>
  <w15:docId w15:val="{ADB47679-2300-459F-9A4B-5E466248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Titlu1">
    <w:name w:val="heading 1"/>
    <w:basedOn w:val="Normal"/>
    <w:next w:val="Text1"/>
    <w:link w:val="Titlu1Caracter"/>
    <w:uiPriority w:val="9"/>
    <w:qFormat/>
    <w:pPr>
      <w:keepNext/>
      <w:numPr>
        <w:numId w:val="20"/>
      </w:numPr>
      <w:spacing w:before="360"/>
      <w:outlineLvl w:val="0"/>
    </w:pPr>
    <w:rPr>
      <w:rFonts w:eastAsiaTheme="majorEastAsia"/>
      <w:b/>
      <w:bCs/>
      <w:smallCaps/>
      <w:szCs w:val="28"/>
    </w:rPr>
  </w:style>
  <w:style w:type="paragraph" w:styleId="Titlu2">
    <w:name w:val="heading 2"/>
    <w:basedOn w:val="Normal"/>
    <w:next w:val="Text1"/>
    <w:link w:val="Titlu2Caracter"/>
    <w:uiPriority w:val="9"/>
    <w:semiHidden/>
    <w:unhideWhenUsed/>
    <w:qFormat/>
    <w:pPr>
      <w:keepNext/>
      <w:numPr>
        <w:ilvl w:val="1"/>
        <w:numId w:val="20"/>
      </w:numPr>
      <w:outlineLvl w:val="1"/>
    </w:pPr>
    <w:rPr>
      <w:rFonts w:eastAsiaTheme="majorEastAsia"/>
      <w:b/>
      <w:bCs/>
      <w:szCs w:val="26"/>
    </w:rPr>
  </w:style>
  <w:style w:type="paragraph" w:styleId="Titlu3">
    <w:name w:val="heading 3"/>
    <w:basedOn w:val="Normal"/>
    <w:next w:val="Text1"/>
    <w:link w:val="Titlu3Caracter"/>
    <w:uiPriority w:val="9"/>
    <w:semiHidden/>
    <w:unhideWhenUsed/>
    <w:qFormat/>
    <w:pPr>
      <w:keepNext/>
      <w:numPr>
        <w:ilvl w:val="2"/>
        <w:numId w:val="20"/>
      </w:numPr>
      <w:outlineLvl w:val="2"/>
    </w:pPr>
    <w:rPr>
      <w:rFonts w:eastAsiaTheme="majorEastAsia"/>
      <w:bCs/>
      <w:i/>
    </w:rPr>
  </w:style>
  <w:style w:type="paragraph" w:styleId="Titlu4">
    <w:name w:val="heading 4"/>
    <w:basedOn w:val="Normal"/>
    <w:next w:val="Text1"/>
    <w:link w:val="Titlu4Caracter"/>
    <w:uiPriority w:val="9"/>
    <w:semiHidden/>
    <w:unhideWhenUsed/>
    <w:qFormat/>
    <w:pPr>
      <w:keepNext/>
      <w:numPr>
        <w:ilvl w:val="3"/>
        <w:numId w:val="20"/>
      </w:numPr>
      <w:outlineLvl w:val="3"/>
    </w:pPr>
    <w:rPr>
      <w:rFonts w:eastAsiaTheme="majorEastAsia"/>
      <w:bCs/>
      <w:iCs/>
    </w:rPr>
  </w:style>
  <w:style w:type="paragraph" w:styleId="Titlu5">
    <w:name w:val="heading 5"/>
    <w:basedOn w:val="Normal"/>
    <w:next w:val="Text2"/>
    <w:link w:val="Titlu5Caracter"/>
    <w:uiPriority w:val="9"/>
    <w:semiHidden/>
    <w:unhideWhenUsed/>
    <w:qFormat/>
    <w:pPr>
      <w:keepNext/>
      <w:numPr>
        <w:ilvl w:val="4"/>
        <w:numId w:val="20"/>
      </w:numPr>
      <w:outlineLvl w:val="4"/>
    </w:pPr>
    <w:rPr>
      <w:rFonts w:eastAsiaTheme="majorEastAsia"/>
    </w:rPr>
  </w:style>
  <w:style w:type="paragraph" w:styleId="Titlu6">
    <w:name w:val="heading 6"/>
    <w:basedOn w:val="Normal"/>
    <w:next w:val="Text2"/>
    <w:link w:val="Titlu6Caracter"/>
    <w:uiPriority w:val="9"/>
    <w:semiHidden/>
    <w:unhideWhenUsed/>
    <w:qFormat/>
    <w:pPr>
      <w:keepNext/>
      <w:numPr>
        <w:ilvl w:val="5"/>
        <w:numId w:val="20"/>
      </w:numPr>
      <w:outlineLvl w:val="5"/>
    </w:pPr>
    <w:rPr>
      <w:rFonts w:eastAsiaTheme="majorEastAsia"/>
      <w:iCs/>
    </w:rPr>
  </w:style>
  <w:style w:type="paragraph" w:styleId="Titlu7">
    <w:name w:val="heading 7"/>
    <w:basedOn w:val="Normal"/>
    <w:next w:val="Text2"/>
    <w:link w:val="Titlu7Caracter"/>
    <w:uiPriority w:val="9"/>
    <w:semiHidden/>
    <w:unhideWhenUsed/>
    <w:qFormat/>
    <w:pPr>
      <w:keepNext/>
      <w:numPr>
        <w:ilvl w:val="6"/>
        <w:numId w:val="20"/>
      </w:numPr>
      <w:outlineLvl w:val="6"/>
    </w:pPr>
    <w:rPr>
      <w:rFonts w:eastAsiaTheme="majorEastAsia"/>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22F29"/>
    <w:rPr>
      <w:color w:val="0000FF" w:themeColor="hyperlink"/>
      <w:u w:val="single"/>
    </w:rPr>
  </w:style>
  <w:style w:type="paragraph" w:styleId="Listparagraf">
    <w:name w:val="List Paragraph"/>
    <w:basedOn w:val="Normal"/>
    <w:uiPriority w:val="34"/>
    <w:qFormat/>
    <w:rsid w:val="003901AB"/>
    <w:pPr>
      <w:ind w:left="720"/>
      <w:contextualSpacing/>
    </w:pPr>
  </w:style>
  <w:style w:type="character" w:customStyle="1" w:styleId="normaltextrun">
    <w:name w:val="normaltextrun"/>
    <w:basedOn w:val="Fontdeparagrafimplicit"/>
    <w:rsid w:val="00F129BF"/>
  </w:style>
  <w:style w:type="character" w:customStyle="1" w:styleId="eop">
    <w:name w:val="eop"/>
    <w:basedOn w:val="Fontdeparagrafimplicit"/>
    <w:rsid w:val="00F129BF"/>
  </w:style>
  <w:style w:type="paragraph" w:customStyle="1" w:styleId="paragraph">
    <w:name w:val="paragraph"/>
    <w:basedOn w:val="Normal"/>
    <w:rsid w:val="0079307D"/>
    <w:pPr>
      <w:spacing w:before="100" w:beforeAutospacing="1" w:after="100" w:afterAutospacing="1"/>
      <w:jc w:val="left"/>
    </w:pPr>
    <w:rPr>
      <w:rFonts w:eastAsia="Times New Roman"/>
      <w:szCs w:val="24"/>
    </w:rPr>
  </w:style>
  <w:style w:type="paragraph" w:styleId="Listcumarcatori">
    <w:name w:val="List Bullet"/>
    <w:basedOn w:val="Normal"/>
    <w:uiPriority w:val="99"/>
    <w:semiHidden/>
    <w:unhideWhenUsed/>
    <w:rsid w:val="00C87025"/>
    <w:pPr>
      <w:numPr>
        <w:numId w:val="2"/>
      </w:numPr>
      <w:contextualSpacing/>
    </w:pPr>
  </w:style>
  <w:style w:type="paragraph" w:styleId="Listacumarcatori2">
    <w:name w:val="List Bullet 2"/>
    <w:basedOn w:val="Normal"/>
    <w:uiPriority w:val="99"/>
    <w:semiHidden/>
    <w:unhideWhenUsed/>
    <w:rsid w:val="00C87025"/>
    <w:pPr>
      <w:numPr>
        <w:numId w:val="3"/>
      </w:numPr>
      <w:contextualSpacing/>
    </w:pPr>
  </w:style>
  <w:style w:type="paragraph" w:styleId="Listacumarcatori3">
    <w:name w:val="List Bullet 3"/>
    <w:basedOn w:val="Normal"/>
    <w:uiPriority w:val="99"/>
    <w:semiHidden/>
    <w:unhideWhenUsed/>
    <w:rsid w:val="00C87025"/>
    <w:pPr>
      <w:numPr>
        <w:numId w:val="4"/>
      </w:numPr>
      <w:contextualSpacing/>
    </w:pPr>
  </w:style>
  <w:style w:type="paragraph" w:styleId="Listacumarcatori4">
    <w:name w:val="List Bullet 4"/>
    <w:basedOn w:val="Normal"/>
    <w:uiPriority w:val="99"/>
    <w:semiHidden/>
    <w:unhideWhenUsed/>
    <w:rsid w:val="00C87025"/>
    <w:pPr>
      <w:numPr>
        <w:numId w:val="5"/>
      </w:numPr>
      <w:contextualSpacing/>
    </w:pPr>
  </w:style>
  <w:style w:type="paragraph" w:styleId="Revizuire">
    <w:name w:val="Revision"/>
    <w:hidden/>
    <w:uiPriority w:val="99"/>
    <w:semiHidden/>
    <w:rsid w:val="001267B3"/>
    <w:pPr>
      <w:spacing w:after="0" w:line="240" w:lineRule="auto"/>
    </w:pPr>
    <w:rPr>
      <w:rFonts w:ascii="Times New Roman" w:hAnsi="Times New Roman" w:cs="Times New Roman"/>
      <w:sz w:val="24"/>
    </w:rPr>
  </w:style>
  <w:style w:type="character" w:styleId="Referincomentariu">
    <w:name w:val="annotation reference"/>
    <w:basedOn w:val="Fontdeparagrafimplicit"/>
    <w:uiPriority w:val="99"/>
    <w:semiHidden/>
    <w:unhideWhenUsed/>
    <w:rsid w:val="001267B3"/>
    <w:rPr>
      <w:sz w:val="16"/>
      <w:szCs w:val="16"/>
    </w:rPr>
  </w:style>
  <w:style w:type="paragraph" w:styleId="Textcomentariu">
    <w:name w:val="annotation text"/>
    <w:basedOn w:val="Normal"/>
    <w:link w:val="TextcomentariuCaracter"/>
    <w:uiPriority w:val="99"/>
    <w:unhideWhenUsed/>
    <w:rsid w:val="001267B3"/>
    <w:rPr>
      <w:sz w:val="20"/>
      <w:szCs w:val="20"/>
    </w:rPr>
  </w:style>
  <w:style w:type="character" w:customStyle="1" w:styleId="TextcomentariuCaracter">
    <w:name w:val="Text comentariu Caracter"/>
    <w:basedOn w:val="Fontdeparagrafimplicit"/>
    <w:link w:val="Textcomentariu"/>
    <w:uiPriority w:val="99"/>
    <w:rsid w:val="001267B3"/>
    <w:rPr>
      <w:rFonts w:ascii="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semiHidden/>
    <w:unhideWhenUsed/>
    <w:rsid w:val="001267B3"/>
    <w:rPr>
      <w:b/>
      <w:bCs/>
    </w:rPr>
  </w:style>
  <w:style w:type="character" w:customStyle="1" w:styleId="SubiectComentariuCaracter">
    <w:name w:val="Subiect Comentariu Caracter"/>
    <w:basedOn w:val="TextcomentariuCaracter"/>
    <w:link w:val="SubiectComentariu"/>
    <w:uiPriority w:val="99"/>
    <w:semiHidden/>
    <w:rsid w:val="001267B3"/>
    <w:rPr>
      <w:rFonts w:ascii="Times New Roman" w:hAnsi="Times New Roman" w:cs="Times New Roman"/>
      <w:b/>
      <w:bCs/>
      <w:sz w:val="20"/>
      <w:szCs w:val="20"/>
      <w:lang w:val="ro-RO"/>
    </w:rPr>
  </w:style>
  <w:style w:type="character" w:customStyle="1" w:styleId="white-space">
    <w:name w:val="white-space"/>
    <w:basedOn w:val="Fontdeparagrafimplicit"/>
    <w:rsid w:val="00962B68"/>
  </w:style>
  <w:style w:type="paragraph" w:styleId="TextnBalon">
    <w:name w:val="Balloon Text"/>
    <w:basedOn w:val="Normal"/>
    <w:link w:val="TextnBalonCaracter"/>
    <w:uiPriority w:val="99"/>
    <w:semiHidden/>
    <w:unhideWhenUsed/>
    <w:rsid w:val="008C74BF"/>
    <w:pPr>
      <w:spacing w:before="0"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C74BF"/>
    <w:rPr>
      <w:rFonts w:ascii="Segoe UI" w:hAnsi="Segoe UI" w:cs="Segoe UI"/>
      <w:sz w:val="18"/>
      <w:szCs w:val="18"/>
      <w:lang w:val="ro-RO"/>
    </w:rPr>
  </w:style>
  <w:style w:type="character" w:customStyle="1" w:styleId="Mention1">
    <w:name w:val="Mention1"/>
    <w:basedOn w:val="Fontdeparagrafimplicit"/>
    <w:uiPriority w:val="99"/>
    <w:unhideWhenUsed/>
    <w:rPr>
      <w:color w:val="2B579A"/>
      <w:shd w:val="clear" w:color="auto" w:fill="E6E6E6"/>
    </w:rPr>
  </w:style>
  <w:style w:type="paragraph" w:styleId="Listnumerotat">
    <w:name w:val="List Number"/>
    <w:basedOn w:val="Normal"/>
    <w:pPr>
      <w:numPr>
        <w:numId w:val="9"/>
      </w:numPr>
    </w:pPr>
    <w:rPr>
      <w:rFonts w:eastAsia="Times New Roman"/>
      <w:lang w:eastAsia="de-DE"/>
    </w:rPr>
  </w:style>
  <w:style w:type="paragraph" w:customStyle="1" w:styleId="ListDash1">
    <w:name w:val="List Dash 1"/>
    <w:basedOn w:val="Normal"/>
    <w:pPr>
      <w:numPr>
        <w:numId w:val="7"/>
      </w:numPr>
    </w:pPr>
    <w:rPr>
      <w:rFonts w:eastAsia="Times New Roman"/>
      <w:lang w:eastAsia="de-DE"/>
    </w:rPr>
  </w:style>
  <w:style w:type="paragraph" w:customStyle="1" w:styleId="ListDash2">
    <w:name w:val="List Dash 2"/>
    <w:basedOn w:val="Normal"/>
    <w:pPr>
      <w:numPr>
        <w:numId w:val="8"/>
      </w:numPr>
    </w:pPr>
    <w:rPr>
      <w:rFonts w:eastAsia="Times New Roman"/>
      <w:lang w:eastAsia="de-DE"/>
    </w:rPr>
  </w:style>
  <w:style w:type="paragraph" w:customStyle="1" w:styleId="ListNumberLevel2">
    <w:name w:val="List Number (Level 2)"/>
    <w:basedOn w:val="Normal"/>
    <w:pPr>
      <w:numPr>
        <w:ilvl w:val="1"/>
        <w:numId w:val="9"/>
      </w:numPr>
    </w:pPr>
    <w:rPr>
      <w:rFonts w:eastAsia="Times New Roman"/>
      <w:lang w:eastAsia="de-DE"/>
    </w:rPr>
  </w:style>
  <w:style w:type="paragraph" w:customStyle="1" w:styleId="ListNumberLevel3">
    <w:name w:val="List Number (Level 3)"/>
    <w:basedOn w:val="Normal"/>
    <w:pPr>
      <w:numPr>
        <w:ilvl w:val="2"/>
        <w:numId w:val="9"/>
      </w:numPr>
    </w:pPr>
    <w:rPr>
      <w:rFonts w:eastAsia="Times New Roman"/>
      <w:lang w:eastAsia="de-DE"/>
    </w:rPr>
  </w:style>
  <w:style w:type="paragraph" w:customStyle="1" w:styleId="ListNumberLevel4">
    <w:name w:val="List Number (Level 4)"/>
    <w:basedOn w:val="Normal"/>
    <w:pPr>
      <w:numPr>
        <w:ilvl w:val="3"/>
        <w:numId w:val="9"/>
      </w:numPr>
    </w:pPr>
    <w:rPr>
      <w:rFonts w:eastAsia="Times New Roman"/>
      <w:lang w:eastAsia="de-DE"/>
    </w:rPr>
  </w:style>
  <w:style w:type="paragraph" w:styleId="Textnotdefinal">
    <w:name w:val="endnote text"/>
    <w:basedOn w:val="Normal"/>
    <w:link w:val="TextnotdefinalCaracter"/>
    <w:uiPriority w:val="99"/>
    <w:semiHidden/>
    <w:unhideWhenUsed/>
    <w:rsid w:val="00311A59"/>
    <w:pPr>
      <w:spacing w:before="0" w:after="0"/>
    </w:pPr>
    <w:rPr>
      <w:sz w:val="20"/>
      <w:szCs w:val="20"/>
    </w:rPr>
  </w:style>
  <w:style w:type="character" w:customStyle="1" w:styleId="TextnotdefinalCaracter">
    <w:name w:val="Text notă de final Caracter"/>
    <w:basedOn w:val="Fontdeparagrafimplicit"/>
    <w:link w:val="Textnotdefinal"/>
    <w:uiPriority w:val="99"/>
    <w:semiHidden/>
    <w:rsid w:val="00311A59"/>
    <w:rPr>
      <w:rFonts w:ascii="Times New Roman" w:hAnsi="Times New Roman" w:cs="Times New Roman"/>
      <w:sz w:val="20"/>
      <w:szCs w:val="20"/>
      <w:lang w:val="ro-RO"/>
    </w:rPr>
  </w:style>
  <w:style w:type="character" w:styleId="Referinnotdefinal">
    <w:name w:val="endnote reference"/>
    <w:basedOn w:val="Fontdeparagrafimplicit"/>
    <w:uiPriority w:val="99"/>
    <w:semiHidden/>
    <w:unhideWhenUsed/>
    <w:rsid w:val="00311A59"/>
    <w:rPr>
      <w:vertAlign w:val="superscript"/>
    </w:rPr>
  </w:style>
  <w:style w:type="table" w:styleId="Tabelgril">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Fontdeparagrafimplicit"/>
    <w:uiPriority w:val="99"/>
    <w:semiHidden/>
    <w:unhideWhenUsed/>
    <w:rsid w:val="007C475D"/>
    <w:rPr>
      <w:color w:val="605E5C"/>
      <w:shd w:val="clear" w:color="auto" w:fill="E1DFDD"/>
    </w:rPr>
  </w:style>
  <w:style w:type="paragraph" w:styleId="Antet">
    <w:name w:val="header"/>
    <w:basedOn w:val="Normal"/>
    <w:link w:val="AntetCaracter"/>
    <w:uiPriority w:val="99"/>
    <w:unhideWhenUsed/>
    <w:rsid w:val="00826666"/>
    <w:pPr>
      <w:tabs>
        <w:tab w:val="center" w:pos="4535"/>
        <w:tab w:val="right" w:pos="9071"/>
      </w:tabs>
      <w:spacing w:before="0"/>
    </w:pPr>
  </w:style>
  <w:style w:type="character" w:customStyle="1" w:styleId="AntetCaracter">
    <w:name w:val="Antet Caracter"/>
    <w:basedOn w:val="Fontdeparagrafimplicit"/>
    <w:link w:val="Antet"/>
    <w:uiPriority w:val="99"/>
    <w:rsid w:val="00826666"/>
    <w:rPr>
      <w:rFonts w:ascii="Times New Roman" w:hAnsi="Times New Roman" w:cs="Times New Roman"/>
      <w:sz w:val="24"/>
      <w:lang w:val="ro-RO"/>
    </w:rPr>
  </w:style>
  <w:style w:type="paragraph" w:styleId="Subsol">
    <w:name w:val="footer"/>
    <w:basedOn w:val="Normal"/>
    <w:link w:val="SubsolCaracter"/>
    <w:uiPriority w:val="99"/>
    <w:unhideWhenUsed/>
    <w:rsid w:val="00826666"/>
    <w:pPr>
      <w:tabs>
        <w:tab w:val="center" w:pos="4535"/>
        <w:tab w:val="right" w:pos="9071"/>
        <w:tab w:val="right" w:pos="9921"/>
      </w:tabs>
      <w:spacing w:before="360" w:after="0"/>
      <w:ind w:left="-850" w:right="-850"/>
      <w:jc w:val="left"/>
    </w:pPr>
  </w:style>
  <w:style w:type="character" w:customStyle="1" w:styleId="SubsolCaracter">
    <w:name w:val="Subsol Caracter"/>
    <w:basedOn w:val="Fontdeparagrafimplicit"/>
    <w:link w:val="Subsol"/>
    <w:uiPriority w:val="99"/>
    <w:rsid w:val="00826666"/>
    <w:rPr>
      <w:rFonts w:ascii="Times New Roman" w:hAnsi="Times New Roman" w:cs="Times New Roman"/>
      <w:sz w:val="24"/>
      <w:lang w:val="ro-RO"/>
    </w:rPr>
  </w:style>
  <w:style w:type="paragraph" w:styleId="Textnotdesubsol">
    <w:name w:val="footnote text"/>
    <w:basedOn w:val="Normal"/>
    <w:link w:val="TextnotdesubsolCaracter"/>
    <w:uiPriority w:val="99"/>
    <w:semiHidden/>
    <w:unhideWhenUsed/>
    <w:pPr>
      <w:spacing w:before="0" w:after="0"/>
      <w:ind w:left="720" w:hanging="720"/>
    </w:pPr>
    <w:rPr>
      <w:sz w:val="20"/>
      <w:szCs w:val="20"/>
    </w:rPr>
  </w:style>
  <w:style w:type="character" w:customStyle="1" w:styleId="TextnotdesubsolCaracter">
    <w:name w:val="Text notă de subsol Caracter"/>
    <w:basedOn w:val="Fontdeparagrafimplicit"/>
    <w:link w:val="Textnotdesubsol"/>
    <w:uiPriority w:val="99"/>
    <w:semiHidden/>
    <w:rPr>
      <w:rFonts w:ascii="Times New Roman" w:hAnsi="Times New Roman" w:cs="Times New Roman"/>
      <w:sz w:val="20"/>
      <w:szCs w:val="20"/>
      <w:shd w:val="clear" w:color="auto" w:fill="auto"/>
      <w:lang w:val="en-GB"/>
    </w:rPr>
  </w:style>
  <w:style w:type="character" w:customStyle="1" w:styleId="Titlu1Caracter">
    <w:name w:val="Titlu 1 Caracter"/>
    <w:basedOn w:val="Fontdeparagrafimplicit"/>
    <w:link w:val="Titlu1"/>
    <w:uiPriority w:val="9"/>
    <w:rPr>
      <w:rFonts w:ascii="Times New Roman" w:eastAsiaTheme="majorEastAsia" w:hAnsi="Times New Roman" w:cs="Times New Roman"/>
      <w:b/>
      <w:bCs/>
      <w:smallCaps/>
      <w:sz w:val="24"/>
      <w:szCs w:val="28"/>
      <w:lang w:val="ro-RO"/>
    </w:rPr>
  </w:style>
  <w:style w:type="character" w:customStyle="1" w:styleId="Titlu2Caracter">
    <w:name w:val="Titlu 2 Caracter"/>
    <w:basedOn w:val="Fontdeparagrafimplicit"/>
    <w:link w:val="Titlu2"/>
    <w:uiPriority w:val="9"/>
    <w:semiHidden/>
    <w:rPr>
      <w:rFonts w:ascii="Times New Roman" w:eastAsiaTheme="majorEastAsia" w:hAnsi="Times New Roman" w:cs="Times New Roman"/>
      <w:b/>
      <w:bCs/>
      <w:sz w:val="24"/>
      <w:szCs w:val="26"/>
      <w:lang w:val="ro-RO"/>
    </w:rPr>
  </w:style>
  <w:style w:type="character" w:customStyle="1" w:styleId="Titlu3Caracter">
    <w:name w:val="Titlu 3 Caracter"/>
    <w:basedOn w:val="Fontdeparagrafimplicit"/>
    <w:link w:val="Titlu3"/>
    <w:uiPriority w:val="9"/>
    <w:semiHidden/>
    <w:rPr>
      <w:rFonts w:ascii="Times New Roman" w:eastAsiaTheme="majorEastAsia" w:hAnsi="Times New Roman" w:cs="Times New Roman"/>
      <w:bCs/>
      <w:i/>
      <w:sz w:val="24"/>
      <w:lang w:val="ro-RO"/>
    </w:rPr>
  </w:style>
  <w:style w:type="character" w:customStyle="1" w:styleId="Titlu4Caracter">
    <w:name w:val="Titlu 4 Caracter"/>
    <w:basedOn w:val="Fontdeparagrafimplicit"/>
    <w:link w:val="Titlu4"/>
    <w:uiPriority w:val="9"/>
    <w:semiHidden/>
    <w:rPr>
      <w:rFonts w:ascii="Times New Roman" w:eastAsiaTheme="majorEastAsia" w:hAnsi="Times New Roman" w:cs="Times New Roman"/>
      <w:bCs/>
      <w:iCs/>
      <w:sz w:val="24"/>
      <w:lang w:val="ro-RO"/>
    </w:rPr>
  </w:style>
  <w:style w:type="character" w:customStyle="1" w:styleId="Titlu5Caracter">
    <w:name w:val="Titlu 5 Caracter"/>
    <w:basedOn w:val="Fontdeparagrafimplicit"/>
    <w:link w:val="Titlu5"/>
    <w:uiPriority w:val="9"/>
    <w:semiHidden/>
    <w:rPr>
      <w:rFonts w:ascii="Times New Roman" w:eastAsiaTheme="majorEastAsia" w:hAnsi="Times New Roman" w:cs="Times New Roman"/>
      <w:sz w:val="24"/>
      <w:lang w:val="ro-RO"/>
    </w:rPr>
  </w:style>
  <w:style w:type="character" w:customStyle="1" w:styleId="Titlu6Caracter">
    <w:name w:val="Titlu 6 Caracter"/>
    <w:basedOn w:val="Fontdeparagrafimplicit"/>
    <w:link w:val="Titlu6"/>
    <w:uiPriority w:val="9"/>
    <w:semiHidden/>
    <w:rPr>
      <w:rFonts w:ascii="Times New Roman" w:eastAsiaTheme="majorEastAsia" w:hAnsi="Times New Roman" w:cs="Times New Roman"/>
      <w:iCs/>
      <w:sz w:val="24"/>
      <w:lang w:val="ro-RO"/>
    </w:rPr>
  </w:style>
  <w:style w:type="character" w:customStyle="1" w:styleId="Titlu7Caracter">
    <w:name w:val="Titlu 7 Caracter"/>
    <w:basedOn w:val="Fontdeparagrafimplicit"/>
    <w:link w:val="Titlu7"/>
    <w:uiPriority w:val="9"/>
    <w:semiHidden/>
    <w:rPr>
      <w:rFonts w:ascii="Times New Roman" w:eastAsiaTheme="majorEastAsia" w:hAnsi="Times New Roman" w:cs="Times New Roman"/>
      <w:iCs/>
      <w:sz w:val="24"/>
      <w:lang w:val="ro-RO"/>
    </w:rPr>
  </w:style>
  <w:style w:type="paragraph" w:styleId="Titlucuprins">
    <w:name w:val="TOC Heading"/>
    <w:basedOn w:val="Normal"/>
    <w:next w:val="Normal"/>
    <w:uiPriority w:val="39"/>
    <w:semiHidden/>
    <w:unhideWhenUsed/>
    <w:qFormat/>
    <w:pPr>
      <w:spacing w:after="240"/>
      <w:jc w:val="center"/>
    </w:pPr>
    <w:rPr>
      <w:b/>
      <w:sz w:val="28"/>
    </w:rPr>
  </w:style>
  <w:style w:type="paragraph" w:styleId="Cuprins1">
    <w:name w:val="toc 1"/>
    <w:basedOn w:val="Normal"/>
    <w:next w:val="Normal"/>
    <w:uiPriority w:val="39"/>
    <w:semiHidden/>
    <w:unhideWhenUsed/>
    <w:pPr>
      <w:tabs>
        <w:tab w:val="right" w:leader="dot" w:pos="9071"/>
      </w:tabs>
      <w:spacing w:before="60"/>
      <w:ind w:left="850" w:hanging="850"/>
      <w:jc w:val="left"/>
    </w:pPr>
  </w:style>
  <w:style w:type="paragraph" w:styleId="Cuprins2">
    <w:name w:val="toc 2"/>
    <w:basedOn w:val="Normal"/>
    <w:next w:val="Normal"/>
    <w:uiPriority w:val="39"/>
    <w:semiHidden/>
    <w:unhideWhenUsed/>
    <w:pPr>
      <w:tabs>
        <w:tab w:val="right" w:leader="dot" w:pos="9071"/>
      </w:tabs>
      <w:spacing w:before="60"/>
      <w:ind w:left="850" w:hanging="850"/>
      <w:jc w:val="left"/>
    </w:pPr>
  </w:style>
  <w:style w:type="paragraph" w:styleId="Cuprins3">
    <w:name w:val="toc 3"/>
    <w:basedOn w:val="Normal"/>
    <w:next w:val="Normal"/>
    <w:uiPriority w:val="39"/>
    <w:semiHidden/>
    <w:unhideWhenUsed/>
    <w:pPr>
      <w:tabs>
        <w:tab w:val="right" w:leader="dot" w:pos="9071"/>
      </w:tabs>
      <w:spacing w:before="60"/>
      <w:ind w:left="850" w:hanging="850"/>
      <w:jc w:val="left"/>
    </w:pPr>
  </w:style>
  <w:style w:type="paragraph" w:styleId="Cuprins4">
    <w:name w:val="toc 4"/>
    <w:basedOn w:val="Normal"/>
    <w:next w:val="Normal"/>
    <w:uiPriority w:val="39"/>
    <w:semiHidden/>
    <w:unhideWhenUsed/>
    <w:pPr>
      <w:tabs>
        <w:tab w:val="right" w:leader="dot" w:pos="9071"/>
      </w:tabs>
      <w:spacing w:before="60"/>
      <w:ind w:left="850" w:hanging="850"/>
      <w:jc w:val="left"/>
    </w:pPr>
  </w:style>
  <w:style w:type="paragraph" w:styleId="Cuprins5">
    <w:name w:val="toc 5"/>
    <w:basedOn w:val="Normal"/>
    <w:next w:val="Normal"/>
    <w:uiPriority w:val="39"/>
    <w:semiHidden/>
    <w:unhideWhenUsed/>
    <w:pPr>
      <w:tabs>
        <w:tab w:val="right" w:leader="dot" w:pos="9071"/>
      </w:tabs>
      <w:spacing w:before="300"/>
      <w:jc w:val="left"/>
    </w:pPr>
  </w:style>
  <w:style w:type="paragraph" w:styleId="Cuprins6">
    <w:name w:val="toc 6"/>
    <w:basedOn w:val="Normal"/>
    <w:next w:val="Normal"/>
    <w:uiPriority w:val="39"/>
    <w:semiHidden/>
    <w:unhideWhenUsed/>
    <w:pPr>
      <w:tabs>
        <w:tab w:val="right" w:leader="dot" w:pos="9071"/>
      </w:tabs>
      <w:spacing w:before="240"/>
      <w:jc w:val="left"/>
    </w:pPr>
  </w:style>
  <w:style w:type="paragraph" w:styleId="Cuprins7">
    <w:name w:val="toc 7"/>
    <w:basedOn w:val="Normal"/>
    <w:next w:val="Normal"/>
    <w:uiPriority w:val="39"/>
    <w:semiHidden/>
    <w:unhideWhenUsed/>
    <w:pPr>
      <w:tabs>
        <w:tab w:val="right" w:leader="dot" w:pos="9071"/>
      </w:tabs>
      <w:spacing w:before="180"/>
      <w:jc w:val="left"/>
    </w:pPr>
  </w:style>
  <w:style w:type="paragraph" w:styleId="Cuprins8">
    <w:name w:val="toc 8"/>
    <w:basedOn w:val="Normal"/>
    <w:next w:val="Normal"/>
    <w:uiPriority w:val="39"/>
    <w:semiHidden/>
    <w:unhideWhenUsed/>
    <w:pPr>
      <w:tabs>
        <w:tab w:val="right" w:leader="dot" w:pos="9071"/>
      </w:tabs>
      <w:jc w:val="left"/>
    </w:pPr>
  </w:style>
  <w:style w:type="paragraph" w:styleId="Cuprins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826666"/>
    <w:pPr>
      <w:tabs>
        <w:tab w:val="center" w:pos="7285"/>
        <w:tab w:val="right" w:pos="14003"/>
      </w:tabs>
      <w:spacing w:before="0"/>
    </w:pPr>
  </w:style>
  <w:style w:type="paragraph" w:customStyle="1" w:styleId="FooterLandscape">
    <w:name w:val="FooterLandscape"/>
    <w:basedOn w:val="Normal"/>
    <w:rsid w:val="00826666"/>
    <w:pPr>
      <w:tabs>
        <w:tab w:val="center" w:pos="7285"/>
        <w:tab w:val="center" w:pos="10913"/>
        <w:tab w:val="right" w:pos="15137"/>
      </w:tabs>
      <w:spacing w:before="360" w:after="0"/>
      <w:ind w:left="-567" w:right="-567"/>
      <w:jc w:val="left"/>
    </w:pPr>
  </w:style>
  <w:style w:type="character" w:styleId="Referinnotdesubsol">
    <w:name w:val="footnote reference"/>
    <w:basedOn w:val="Fontdeparagrafimplicit"/>
    <w:uiPriority w:val="99"/>
    <w:semiHidden/>
    <w:unhideWhenUsed/>
    <w:rPr>
      <w:shd w:val="clear" w:color="auto" w:fill="auto"/>
      <w:vertAlign w:val="superscript"/>
    </w:rPr>
  </w:style>
  <w:style w:type="paragraph" w:customStyle="1" w:styleId="HeaderSensitivity">
    <w:name w:val="Header Sensitivity"/>
    <w:basedOn w:val="Normal"/>
    <w:rsid w:val="0082666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826666"/>
    <w:pPr>
      <w:spacing w:before="0"/>
      <w:jc w:val="right"/>
    </w:pPr>
    <w:rPr>
      <w:sz w:val="28"/>
    </w:rPr>
  </w:style>
  <w:style w:type="paragraph" w:customStyle="1" w:styleId="FooterSensitivity">
    <w:name w:val="Footer Sensitivity"/>
    <w:basedOn w:val="Normal"/>
    <w:rsid w:val="0082666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Tiret5">
    <w:name w:val="Tiret 5"/>
    <w:basedOn w:val="Point5"/>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NumPar5">
    <w:name w:val="NumPar 5"/>
    <w:basedOn w:val="Normal"/>
    <w:next w:val="Text2"/>
    <w:pPr>
      <w:numPr>
        <w:ilvl w:val="4"/>
        <w:numId w:val="19"/>
      </w:numPr>
    </w:pPr>
  </w:style>
  <w:style w:type="paragraph" w:customStyle="1" w:styleId="NumPar6">
    <w:name w:val="NumPar 6"/>
    <w:basedOn w:val="Normal"/>
    <w:next w:val="Text2"/>
    <w:pPr>
      <w:numPr>
        <w:ilvl w:val="5"/>
        <w:numId w:val="19"/>
      </w:numPr>
    </w:pPr>
  </w:style>
  <w:style w:type="paragraph" w:customStyle="1" w:styleId="NumPar7">
    <w:name w:val="NumPar 7"/>
    <w:basedOn w:val="Normal"/>
    <w:next w:val="Text2"/>
    <w:pPr>
      <w:numPr>
        <w:ilvl w:val="6"/>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Titlu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Fontdeparagrafimplicit"/>
    <w:rPr>
      <w:color w:val="0000FF"/>
      <w:shd w:val="clear" w:color="auto" w:fill="auto"/>
    </w:rPr>
  </w:style>
  <w:style w:type="character" w:customStyle="1" w:styleId="Marker1">
    <w:name w:val="Marker1"/>
    <w:basedOn w:val="Fontdeparagrafimplicit"/>
    <w:rPr>
      <w:color w:val="008000"/>
      <w:shd w:val="clear" w:color="auto" w:fill="auto"/>
    </w:rPr>
  </w:style>
  <w:style w:type="character" w:customStyle="1" w:styleId="Marker2">
    <w:name w:val="Marker2"/>
    <w:basedOn w:val="Fontdeparagrafimplici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Fontdeparagrafimplicit"/>
    <w:rPr>
      <w:b/>
      <w:u w:val="single"/>
      <w:shd w:val="clear" w:color="auto" w:fill="auto"/>
    </w:rPr>
  </w:style>
  <w:style w:type="character" w:customStyle="1" w:styleId="Deleted">
    <w:name w:val="Deleted"/>
    <w:basedOn w:val="Fontdeparagrafimplici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12">
      <w:bodyDiv w:val="1"/>
      <w:marLeft w:val="0"/>
      <w:marRight w:val="0"/>
      <w:marTop w:val="0"/>
      <w:marBottom w:val="0"/>
      <w:divBdr>
        <w:top w:val="none" w:sz="0" w:space="0" w:color="auto"/>
        <w:left w:val="none" w:sz="0" w:space="0" w:color="auto"/>
        <w:bottom w:val="none" w:sz="0" w:space="0" w:color="auto"/>
        <w:right w:val="none" w:sz="0" w:space="0" w:color="auto"/>
      </w:divBdr>
      <w:divsChild>
        <w:div w:id="483275242">
          <w:marLeft w:val="0"/>
          <w:marRight w:val="0"/>
          <w:marTop w:val="0"/>
          <w:marBottom w:val="0"/>
          <w:divBdr>
            <w:top w:val="none" w:sz="0" w:space="0" w:color="auto"/>
            <w:left w:val="none" w:sz="0" w:space="0" w:color="auto"/>
            <w:bottom w:val="none" w:sz="0" w:space="0" w:color="auto"/>
            <w:right w:val="none" w:sz="0" w:space="0" w:color="auto"/>
          </w:divBdr>
        </w:div>
        <w:div w:id="554047847">
          <w:marLeft w:val="0"/>
          <w:marRight w:val="0"/>
          <w:marTop w:val="0"/>
          <w:marBottom w:val="0"/>
          <w:divBdr>
            <w:top w:val="none" w:sz="0" w:space="0" w:color="auto"/>
            <w:left w:val="none" w:sz="0" w:space="0" w:color="auto"/>
            <w:bottom w:val="none" w:sz="0" w:space="0" w:color="auto"/>
            <w:right w:val="none" w:sz="0" w:space="0" w:color="auto"/>
          </w:divBdr>
        </w:div>
        <w:div w:id="583953460">
          <w:marLeft w:val="0"/>
          <w:marRight w:val="0"/>
          <w:marTop w:val="0"/>
          <w:marBottom w:val="0"/>
          <w:divBdr>
            <w:top w:val="none" w:sz="0" w:space="0" w:color="auto"/>
            <w:left w:val="none" w:sz="0" w:space="0" w:color="auto"/>
            <w:bottom w:val="none" w:sz="0" w:space="0" w:color="auto"/>
            <w:right w:val="none" w:sz="0" w:space="0" w:color="auto"/>
          </w:divBdr>
        </w:div>
        <w:div w:id="1093555157">
          <w:marLeft w:val="0"/>
          <w:marRight w:val="0"/>
          <w:marTop w:val="0"/>
          <w:marBottom w:val="0"/>
          <w:divBdr>
            <w:top w:val="none" w:sz="0" w:space="0" w:color="auto"/>
            <w:left w:val="none" w:sz="0" w:space="0" w:color="auto"/>
            <w:bottom w:val="none" w:sz="0" w:space="0" w:color="auto"/>
            <w:right w:val="none" w:sz="0" w:space="0" w:color="auto"/>
          </w:divBdr>
        </w:div>
        <w:div w:id="1836795390">
          <w:marLeft w:val="0"/>
          <w:marRight w:val="0"/>
          <w:marTop w:val="0"/>
          <w:marBottom w:val="0"/>
          <w:divBdr>
            <w:top w:val="none" w:sz="0" w:space="0" w:color="auto"/>
            <w:left w:val="none" w:sz="0" w:space="0" w:color="auto"/>
            <w:bottom w:val="none" w:sz="0" w:space="0" w:color="auto"/>
            <w:right w:val="none" w:sz="0" w:space="0" w:color="auto"/>
          </w:divBdr>
        </w:div>
      </w:divsChild>
    </w:div>
    <w:div w:id="273288518">
      <w:bodyDiv w:val="1"/>
      <w:marLeft w:val="0"/>
      <w:marRight w:val="0"/>
      <w:marTop w:val="0"/>
      <w:marBottom w:val="0"/>
      <w:divBdr>
        <w:top w:val="none" w:sz="0" w:space="0" w:color="auto"/>
        <w:left w:val="none" w:sz="0" w:space="0" w:color="auto"/>
        <w:bottom w:val="none" w:sz="0" w:space="0" w:color="auto"/>
        <w:right w:val="none" w:sz="0" w:space="0" w:color="auto"/>
      </w:divBdr>
      <w:divsChild>
        <w:div w:id="7175961">
          <w:marLeft w:val="0"/>
          <w:marRight w:val="0"/>
          <w:marTop w:val="0"/>
          <w:marBottom w:val="0"/>
          <w:divBdr>
            <w:top w:val="none" w:sz="0" w:space="0" w:color="auto"/>
            <w:left w:val="none" w:sz="0" w:space="0" w:color="auto"/>
            <w:bottom w:val="none" w:sz="0" w:space="0" w:color="auto"/>
            <w:right w:val="none" w:sz="0" w:space="0" w:color="auto"/>
          </w:divBdr>
        </w:div>
        <w:div w:id="166092682">
          <w:marLeft w:val="0"/>
          <w:marRight w:val="0"/>
          <w:marTop w:val="0"/>
          <w:marBottom w:val="0"/>
          <w:divBdr>
            <w:top w:val="none" w:sz="0" w:space="0" w:color="auto"/>
            <w:left w:val="none" w:sz="0" w:space="0" w:color="auto"/>
            <w:bottom w:val="none" w:sz="0" w:space="0" w:color="auto"/>
            <w:right w:val="none" w:sz="0" w:space="0" w:color="auto"/>
          </w:divBdr>
        </w:div>
        <w:div w:id="236520106">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75"/>
              <w:marRight w:val="0"/>
              <w:marTop w:val="30"/>
              <w:marBottom w:val="30"/>
              <w:divBdr>
                <w:top w:val="none" w:sz="0" w:space="0" w:color="auto"/>
                <w:left w:val="none" w:sz="0" w:space="0" w:color="auto"/>
                <w:bottom w:val="none" w:sz="0" w:space="0" w:color="auto"/>
                <w:right w:val="none" w:sz="0" w:space="0" w:color="auto"/>
              </w:divBdr>
              <w:divsChild>
                <w:div w:id="657150480">
                  <w:marLeft w:val="0"/>
                  <w:marRight w:val="0"/>
                  <w:marTop w:val="0"/>
                  <w:marBottom w:val="0"/>
                  <w:divBdr>
                    <w:top w:val="none" w:sz="0" w:space="0" w:color="auto"/>
                    <w:left w:val="none" w:sz="0" w:space="0" w:color="auto"/>
                    <w:bottom w:val="none" w:sz="0" w:space="0" w:color="auto"/>
                    <w:right w:val="none" w:sz="0" w:space="0" w:color="auto"/>
                  </w:divBdr>
                  <w:divsChild>
                    <w:div w:id="2058161964">
                      <w:marLeft w:val="0"/>
                      <w:marRight w:val="0"/>
                      <w:marTop w:val="0"/>
                      <w:marBottom w:val="0"/>
                      <w:divBdr>
                        <w:top w:val="none" w:sz="0" w:space="0" w:color="auto"/>
                        <w:left w:val="none" w:sz="0" w:space="0" w:color="auto"/>
                        <w:bottom w:val="none" w:sz="0" w:space="0" w:color="auto"/>
                        <w:right w:val="none" w:sz="0" w:space="0" w:color="auto"/>
                      </w:divBdr>
                    </w:div>
                  </w:divsChild>
                </w:div>
                <w:div w:id="673142490">
                  <w:marLeft w:val="0"/>
                  <w:marRight w:val="0"/>
                  <w:marTop w:val="0"/>
                  <w:marBottom w:val="0"/>
                  <w:divBdr>
                    <w:top w:val="none" w:sz="0" w:space="0" w:color="auto"/>
                    <w:left w:val="none" w:sz="0" w:space="0" w:color="auto"/>
                    <w:bottom w:val="none" w:sz="0" w:space="0" w:color="auto"/>
                    <w:right w:val="none" w:sz="0" w:space="0" w:color="auto"/>
                  </w:divBdr>
                  <w:divsChild>
                    <w:div w:id="15989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6994">
          <w:marLeft w:val="0"/>
          <w:marRight w:val="0"/>
          <w:marTop w:val="0"/>
          <w:marBottom w:val="0"/>
          <w:divBdr>
            <w:top w:val="none" w:sz="0" w:space="0" w:color="auto"/>
            <w:left w:val="none" w:sz="0" w:space="0" w:color="auto"/>
            <w:bottom w:val="none" w:sz="0" w:space="0" w:color="auto"/>
            <w:right w:val="none" w:sz="0" w:space="0" w:color="auto"/>
          </w:divBdr>
          <w:divsChild>
            <w:div w:id="668361786">
              <w:marLeft w:val="-75"/>
              <w:marRight w:val="0"/>
              <w:marTop w:val="30"/>
              <w:marBottom w:val="30"/>
              <w:divBdr>
                <w:top w:val="none" w:sz="0" w:space="0" w:color="auto"/>
                <w:left w:val="none" w:sz="0" w:space="0" w:color="auto"/>
                <w:bottom w:val="none" w:sz="0" w:space="0" w:color="auto"/>
                <w:right w:val="none" w:sz="0" w:space="0" w:color="auto"/>
              </w:divBdr>
              <w:divsChild>
                <w:div w:id="146211211">
                  <w:marLeft w:val="0"/>
                  <w:marRight w:val="0"/>
                  <w:marTop w:val="0"/>
                  <w:marBottom w:val="0"/>
                  <w:divBdr>
                    <w:top w:val="none" w:sz="0" w:space="0" w:color="auto"/>
                    <w:left w:val="none" w:sz="0" w:space="0" w:color="auto"/>
                    <w:bottom w:val="none" w:sz="0" w:space="0" w:color="auto"/>
                    <w:right w:val="none" w:sz="0" w:space="0" w:color="auto"/>
                  </w:divBdr>
                  <w:divsChild>
                    <w:div w:id="564296493">
                      <w:marLeft w:val="0"/>
                      <w:marRight w:val="0"/>
                      <w:marTop w:val="0"/>
                      <w:marBottom w:val="0"/>
                      <w:divBdr>
                        <w:top w:val="none" w:sz="0" w:space="0" w:color="auto"/>
                        <w:left w:val="none" w:sz="0" w:space="0" w:color="auto"/>
                        <w:bottom w:val="none" w:sz="0" w:space="0" w:color="auto"/>
                        <w:right w:val="none" w:sz="0" w:space="0" w:color="auto"/>
                      </w:divBdr>
                    </w:div>
                  </w:divsChild>
                </w:div>
                <w:div w:id="1718816584">
                  <w:marLeft w:val="0"/>
                  <w:marRight w:val="0"/>
                  <w:marTop w:val="0"/>
                  <w:marBottom w:val="0"/>
                  <w:divBdr>
                    <w:top w:val="none" w:sz="0" w:space="0" w:color="auto"/>
                    <w:left w:val="none" w:sz="0" w:space="0" w:color="auto"/>
                    <w:bottom w:val="none" w:sz="0" w:space="0" w:color="auto"/>
                    <w:right w:val="none" w:sz="0" w:space="0" w:color="auto"/>
                  </w:divBdr>
                  <w:divsChild>
                    <w:div w:id="11215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45223">
          <w:marLeft w:val="0"/>
          <w:marRight w:val="0"/>
          <w:marTop w:val="0"/>
          <w:marBottom w:val="0"/>
          <w:divBdr>
            <w:top w:val="none" w:sz="0" w:space="0" w:color="auto"/>
            <w:left w:val="none" w:sz="0" w:space="0" w:color="auto"/>
            <w:bottom w:val="none" w:sz="0" w:space="0" w:color="auto"/>
            <w:right w:val="none" w:sz="0" w:space="0" w:color="auto"/>
          </w:divBdr>
        </w:div>
        <w:div w:id="694161410">
          <w:marLeft w:val="0"/>
          <w:marRight w:val="0"/>
          <w:marTop w:val="0"/>
          <w:marBottom w:val="0"/>
          <w:divBdr>
            <w:top w:val="none" w:sz="0" w:space="0" w:color="auto"/>
            <w:left w:val="none" w:sz="0" w:space="0" w:color="auto"/>
            <w:bottom w:val="none" w:sz="0" w:space="0" w:color="auto"/>
            <w:right w:val="none" w:sz="0" w:space="0" w:color="auto"/>
          </w:divBdr>
        </w:div>
        <w:div w:id="1001544296">
          <w:marLeft w:val="0"/>
          <w:marRight w:val="0"/>
          <w:marTop w:val="0"/>
          <w:marBottom w:val="0"/>
          <w:divBdr>
            <w:top w:val="none" w:sz="0" w:space="0" w:color="auto"/>
            <w:left w:val="none" w:sz="0" w:space="0" w:color="auto"/>
            <w:bottom w:val="none" w:sz="0" w:space="0" w:color="auto"/>
            <w:right w:val="none" w:sz="0" w:space="0" w:color="auto"/>
          </w:divBdr>
          <w:divsChild>
            <w:div w:id="697393844">
              <w:marLeft w:val="-75"/>
              <w:marRight w:val="0"/>
              <w:marTop w:val="30"/>
              <w:marBottom w:val="30"/>
              <w:divBdr>
                <w:top w:val="none" w:sz="0" w:space="0" w:color="auto"/>
                <w:left w:val="none" w:sz="0" w:space="0" w:color="auto"/>
                <w:bottom w:val="none" w:sz="0" w:space="0" w:color="auto"/>
                <w:right w:val="none" w:sz="0" w:space="0" w:color="auto"/>
              </w:divBdr>
              <w:divsChild>
                <w:div w:id="443303498">
                  <w:marLeft w:val="0"/>
                  <w:marRight w:val="0"/>
                  <w:marTop w:val="0"/>
                  <w:marBottom w:val="0"/>
                  <w:divBdr>
                    <w:top w:val="none" w:sz="0" w:space="0" w:color="auto"/>
                    <w:left w:val="none" w:sz="0" w:space="0" w:color="auto"/>
                    <w:bottom w:val="none" w:sz="0" w:space="0" w:color="auto"/>
                    <w:right w:val="none" w:sz="0" w:space="0" w:color="auto"/>
                  </w:divBdr>
                  <w:divsChild>
                    <w:div w:id="96022121">
                      <w:marLeft w:val="0"/>
                      <w:marRight w:val="0"/>
                      <w:marTop w:val="0"/>
                      <w:marBottom w:val="0"/>
                      <w:divBdr>
                        <w:top w:val="none" w:sz="0" w:space="0" w:color="auto"/>
                        <w:left w:val="none" w:sz="0" w:space="0" w:color="auto"/>
                        <w:bottom w:val="none" w:sz="0" w:space="0" w:color="auto"/>
                        <w:right w:val="none" w:sz="0" w:space="0" w:color="auto"/>
                      </w:divBdr>
                    </w:div>
                  </w:divsChild>
                </w:div>
                <w:div w:id="1993869577">
                  <w:marLeft w:val="0"/>
                  <w:marRight w:val="0"/>
                  <w:marTop w:val="0"/>
                  <w:marBottom w:val="0"/>
                  <w:divBdr>
                    <w:top w:val="none" w:sz="0" w:space="0" w:color="auto"/>
                    <w:left w:val="none" w:sz="0" w:space="0" w:color="auto"/>
                    <w:bottom w:val="none" w:sz="0" w:space="0" w:color="auto"/>
                    <w:right w:val="none" w:sz="0" w:space="0" w:color="auto"/>
                  </w:divBdr>
                  <w:divsChild>
                    <w:div w:id="418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3681">
          <w:marLeft w:val="0"/>
          <w:marRight w:val="0"/>
          <w:marTop w:val="0"/>
          <w:marBottom w:val="0"/>
          <w:divBdr>
            <w:top w:val="none" w:sz="0" w:space="0" w:color="auto"/>
            <w:left w:val="none" w:sz="0" w:space="0" w:color="auto"/>
            <w:bottom w:val="none" w:sz="0" w:space="0" w:color="auto"/>
            <w:right w:val="none" w:sz="0" w:space="0" w:color="auto"/>
          </w:divBdr>
          <w:divsChild>
            <w:div w:id="87310256">
              <w:marLeft w:val="-75"/>
              <w:marRight w:val="0"/>
              <w:marTop w:val="30"/>
              <w:marBottom w:val="30"/>
              <w:divBdr>
                <w:top w:val="none" w:sz="0" w:space="0" w:color="auto"/>
                <w:left w:val="none" w:sz="0" w:space="0" w:color="auto"/>
                <w:bottom w:val="none" w:sz="0" w:space="0" w:color="auto"/>
                <w:right w:val="none" w:sz="0" w:space="0" w:color="auto"/>
              </w:divBdr>
              <w:divsChild>
                <w:div w:id="182936978">
                  <w:marLeft w:val="0"/>
                  <w:marRight w:val="0"/>
                  <w:marTop w:val="0"/>
                  <w:marBottom w:val="0"/>
                  <w:divBdr>
                    <w:top w:val="none" w:sz="0" w:space="0" w:color="auto"/>
                    <w:left w:val="none" w:sz="0" w:space="0" w:color="auto"/>
                    <w:bottom w:val="none" w:sz="0" w:space="0" w:color="auto"/>
                    <w:right w:val="none" w:sz="0" w:space="0" w:color="auto"/>
                  </w:divBdr>
                  <w:divsChild>
                    <w:div w:id="1635865716">
                      <w:marLeft w:val="0"/>
                      <w:marRight w:val="0"/>
                      <w:marTop w:val="0"/>
                      <w:marBottom w:val="0"/>
                      <w:divBdr>
                        <w:top w:val="none" w:sz="0" w:space="0" w:color="auto"/>
                        <w:left w:val="none" w:sz="0" w:space="0" w:color="auto"/>
                        <w:bottom w:val="none" w:sz="0" w:space="0" w:color="auto"/>
                        <w:right w:val="none" w:sz="0" w:space="0" w:color="auto"/>
                      </w:divBdr>
                    </w:div>
                  </w:divsChild>
                </w:div>
                <w:div w:id="331298466">
                  <w:marLeft w:val="0"/>
                  <w:marRight w:val="0"/>
                  <w:marTop w:val="0"/>
                  <w:marBottom w:val="0"/>
                  <w:divBdr>
                    <w:top w:val="none" w:sz="0" w:space="0" w:color="auto"/>
                    <w:left w:val="none" w:sz="0" w:space="0" w:color="auto"/>
                    <w:bottom w:val="none" w:sz="0" w:space="0" w:color="auto"/>
                    <w:right w:val="none" w:sz="0" w:space="0" w:color="auto"/>
                  </w:divBdr>
                  <w:divsChild>
                    <w:div w:id="7960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9324">
          <w:marLeft w:val="0"/>
          <w:marRight w:val="0"/>
          <w:marTop w:val="0"/>
          <w:marBottom w:val="0"/>
          <w:divBdr>
            <w:top w:val="none" w:sz="0" w:space="0" w:color="auto"/>
            <w:left w:val="none" w:sz="0" w:space="0" w:color="auto"/>
            <w:bottom w:val="none" w:sz="0" w:space="0" w:color="auto"/>
            <w:right w:val="none" w:sz="0" w:space="0" w:color="auto"/>
          </w:divBdr>
        </w:div>
        <w:div w:id="1810126788">
          <w:marLeft w:val="0"/>
          <w:marRight w:val="0"/>
          <w:marTop w:val="0"/>
          <w:marBottom w:val="0"/>
          <w:divBdr>
            <w:top w:val="none" w:sz="0" w:space="0" w:color="auto"/>
            <w:left w:val="none" w:sz="0" w:space="0" w:color="auto"/>
            <w:bottom w:val="none" w:sz="0" w:space="0" w:color="auto"/>
            <w:right w:val="none" w:sz="0" w:space="0" w:color="auto"/>
          </w:divBdr>
        </w:div>
        <w:div w:id="1812358404">
          <w:marLeft w:val="0"/>
          <w:marRight w:val="0"/>
          <w:marTop w:val="0"/>
          <w:marBottom w:val="0"/>
          <w:divBdr>
            <w:top w:val="none" w:sz="0" w:space="0" w:color="auto"/>
            <w:left w:val="none" w:sz="0" w:space="0" w:color="auto"/>
            <w:bottom w:val="none" w:sz="0" w:space="0" w:color="auto"/>
            <w:right w:val="none" w:sz="0" w:space="0" w:color="auto"/>
          </w:divBdr>
        </w:div>
      </w:divsChild>
    </w:div>
    <w:div w:id="327027700">
      <w:bodyDiv w:val="1"/>
      <w:marLeft w:val="0"/>
      <w:marRight w:val="0"/>
      <w:marTop w:val="0"/>
      <w:marBottom w:val="0"/>
      <w:divBdr>
        <w:top w:val="none" w:sz="0" w:space="0" w:color="auto"/>
        <w:left w:val="none" w:sz="0" w:space="0" w:color="auto"/>
        <w:bottom w:val="none" w:sz="0" w:space="0" w:color="auto"/>
        <w:right w:val="none" w:sz="0" w:space="0" w:color="auto"/>
      </w:divBdr>
      <w:divsChild>
        <w:div w:id="273444808">
          <w:marLeft w:val="0"/>
          <w:marRight w:val="0"/>
          <w:marTop w:val="0"/>
          <w:marBottom w:val="0"/>
          <w:divBdr>
            <w:top w:val="none" w:sz="0" w:space="0" w:color="auto"/>
            <w:left w:val="none" w:sz="0" w:space="0" w:color="auto"/>
            <w:bottom w:val="none" w:sz="0" w:space="0" w:color="auto"/>
            <w:right w:val="none" w:sz="0" w:space="0" w:color="auto"/>
          </w:divBdr>
        </w:div>
        <w:div w:id="401873837">
          <w:marLeft w:val="0"/>
          <w:marRight w:val="0"/>
          <w:marTop w:val="0"/>
          <w:marBottom w:val="0"/>
          <w:divBdr>
            <w:top w:val="none" w:sz="0" w:space="0" w:color="auto"/>
            <w:left w:val="none" w:sz="0" w:space="0" w:color="auto"/>
            <w:bottom w:val="none" w:sz="0" w:space="0" w:color="auto"/>
            <w:right w:val="none" w:sz="0" w:space="0" w:color="auto"/>
          </w:divBdr>
        </w:div>
        <w:div w:id="994726685">
          <w:marLeft w:val="0"/>
          <w:marRight w:val="0"/>
          <w:marTop w:val="0"/>
          <w:marBottom w:val="0"/>
          <w:divBdr>
            <w:top w:val="none" w:sz="0" w:space="0" w:color="auto"/>
            <w:left w:val="none" w:sz="0" w:space="0" w:color="auto"/>
            <w:bottom w:val="none" w:sz="0" w:space="0" w:color="auto"/>
            <w:right w:val="none" w:sz="0" w:space="0" w:color="auto"/>
          </w:divBdr>
        </w:div>
        <w:div w:id="1094858892">
          <w:marLeft w:val="0"/>
          <w:marRight w:val="0"/>
          <w:marTop w:val="0"/>
          <w:marBottom w:val="0"/>
          <w:divBdr>
            <w:top w:val="none" w:sz="0" w:space="0" w:color="auto"/>
            <w:left w:val="none" w:sz="0" w:space="0" w:color="auto"/>
            <w:bottom w:val="none" w:sz="0" w:space="0" w:color="auto"/>
            <w:right w:val="none" w:sz="0" w:space="0" w:color="auto"/>
          </w:divBdr>
        </w:div>
        <w:div w:id="1667201940">
          <w:marLeft w:val="0"/>
          <w:marRight w:val="0"/>
          <w:marTop w:val="0"/>
          <w:marBottom w:val="0"/>
          <w:divBdr>
            <w:top w:val="none" w:sz="0" w:space="0" w:color="auto"/>
            <w:left w:val="none" w:sz="0" w:space="0" w:color="auto"/>
            <w:bottom w:val="none" w:sz="0" w:space="0" w:color="auto"/>
            <w:right w:val="none" w:sz="0" w:space="0" w:color="auto"/>
          </w:divBdr>
        </w:div>
        <w:div w:id="2120561628">
          <w:marLeft w:val="0"/>
          <w:marRight w:val="0"/>
          <w:marTop w:val="0"/>
          <w:marBottom w:val="0"/>
          <w:divBdr>
            <w:top w:val="none" w:sz="0" w:space="0" w:color="auto"/>
            <w:left w:val="none" w:sz="0" w:space="0" w:color="auto"/>
            <w:bottom w:val="none" w:sz="0" w:space="0" w:color="auto"/>
            <w:right w:val="none" w:sz="0" w:space="0" w:color="auto"/>
          </w:divBdr>
        </w:div>
      </w:divsChild>
    </w:div>
    <w:div w:id="362168773">
      <w:bodyDiv w:val="1"/>
      <w:marLeft w:val="0"/>
      <w:marRight w:val="0"/>
      <w:marTop w:val="0"/>
      <w:marBottom w:val="0"/>
      <w:divBdr>
        <w:top w:val="none" w:sz="0" w:space="0" w:color="auto"/>
        <w:left w:val="none" w:sz="0" w:space="0" w:color="auto"/>
        <w:bottom w:val="none" w:sz="0" w:space="0" w:color="auto"/>
        <w:right w:val="none" w:sz="0" w:space="0" w:color="auto"/>
      </w:divBdr>
      <w:divsChild>
        <w:div w:id="6106042">
          <w:marLeft w:val="0"/>
          <w:marRight w:val="0"/>
          <w:marTop w:val="0"/>
          <w:marBottom w:val="0"/>
          <w:divBdr>
            <w:top w:val="none" w:sz="0" w:space="0" w:color="auto"/>
            <w:left w:val="none" w:sz="0" w:space="0" w:color="auto"/>
            <w:bottom w:val="none" w:sz="0" w:space="0" w:color="auto"/>
            <w:right w:val="none" w:sz="0" w:space="0" w:color="auto"/>
          </w:divBdr>
        </w:div>
        <w:div w:id="6837983">
          <w:marLeft w:val="0"/>
          <w:marRight w:val="0"/>
          <w:marTop w:val="0"/>
          <w:marBottom w:val="0"/>
          <w:divBdr>
            <w:top w:val="none" w:sz="0" w:space="0" w:color="auto"/>
            <w:left w:val="none" w:sz="0" w:space="0" w:color="auto"/>
            <w:bottom w:val="none" w:sz="0" w:space="0" w:color="auto"/>
            <w:right w:val="none" w:sz="0" w:space="0" w:color="auto"/>
          </w:divBdr>
        </w:div>
        <w:div w:id="538124529">
          <w:marLeft w:val="0"/>
          <w:marRight w:val="0"/>
          <w:marTop w:val="0"/>
          <w:marBottom w:val="0"/>
          <w:divBdr>
            <w:top w:val="none" w:sz="0" w:space="0" w:color="auto"/>
            <w:left w:val="none" w:sz="0" w:space="0" w:color="auto"/>
            <w:bottom w:val="none" w:sz="0" w:space="0" w:color="auto"/>
            <w:right w:val="none" w:sz="0" w:space="0" w:color="auto"/>
          </w:divBdr>
        </w:div>
        <w:div w:id="928853242">
          <w:marLeft w:val="0"/>
          <w:marRight w:val="0"/>
          <w:marTop w:val="0"/>
          <w:marBottom w:val="0"/>
          <w:divBdr>
            <w:top w:val="none" w:sz="0" w:space="0" w:color="auto"/>
            <w:left w:val="none" w:sz="0" w:space="0" w:color="auto"/>
            <w:bottom w:val="none" w:sz="0" w:space="0" w:color="auto"/>
            <w:right w:val="none" w:sz="0" w:space="0" w:color="auto"/>
          </w:divBdr>
        </w:div>
        <w:div w:id="1468427289">
          <w:marLeft w:val="0"/>
          <w:marRight w:val="0"/>
          <w:marTop w:val="0"/>
          <w:marBottom w:val="0"/>
          <w:divBdr>
            <w:top w:val="none" w:sz="0" w:space="0" w:color="auto"/>
            <w:left w:val="none" w:sz="0" w:space="0" w:color="auto"/>
            <w:bottom w:val="none" w:sz="0" w:space="0" w:color="auto"/>
            <w:right w:val="none" w:sz="0" w:space="0" w:color="auto"/>
          </w:divBdr>
        </w:div>
        <w:div w:id="1564104476">
          <w:marLeft w:val="0"/>
          <w:marRight w:val="0"/>
          <w:marTop w:val="0"/>
          <w:marBottom w:val="0"/>
          <w:divBdr>
            <w:top w:val="none" w:sz="0" w:space="0" w:color="auto"/>
            <w:left w:val="none" w:sz="0" w:space="0" w:color="auto"/>
            <w:bottom w:val="none" w:sz="0" w:space="0" w:color="auto"/>
            <w:right w:val="none" w:sz="0" w:space="0" w:color="auto"/>
          </w:divBdr>
        </w:div>
        <w:div w:id="1710259170">
          <w:marLeft w:val="0"/>
          <w:marRight w:val="0"/>
          <w:marTop w:val="0"/>
          <w:marBottom w:val="0"/>
          <w:divBdr>
            <w:top w:val="none" w:sz="0" w:space="0" w:color="auto"/>
            <w:left w:val="none" w:sz="0" w:space="0" w:color="auto"/>
            <w:bottom w:val="none" w:sz="0" w:space="0" w:color="auto"/>
            <w:right w:val="none" w:sz="0" w:space="0" w:color="auto"/>
          </w:divBdr>
        </w:div>
        <w:div w:id="2102872219">
          <w:marLeft w:val="0"/>
          <w:marRight w:val="0"/>
          <w:marTop w:val="0"/>
          <w:marBottom w:val="0"/>
          <w:divBdr>
            <w:top w:val="none" w:sz="0" w:space="0" w:color="auto"/>
            <w:left w:val="none" w:sz="0" w:space="0" w:color="auto"/>
            <w:bottom w:val="none" w:sz="0" w:space="0" w:color="auto"/>
            <w:right w:val="none" w:sz="0" w:space="0" w:color="auto"/>
          </w:divBdr>
        </w:div>
      </w:divsChild>
    </w:div>
    <w:div w:id="941496723">
      <w:bodyDiv w:val="1"/>
      <w:marLeft w:val="0"/>
      <w:marRight w:val="0"/>
      <w:marTop w:val="0"/>
      <w:marBottom w:val="0"/>
      <w:divBdr>
        <w:top w:val="none" w:sz="0" w:space="0" w:color="auto"/>
        <w:left w:val="none" w:sz="0" w:space="0" w:color="auto"/>
        <w:bottom w:val="none" w:sz="0" w:space="0" w:color="auto"/>
        <w:right w:val="none" w:sz="0" w:space="0" w:color="auto"/>
      </w:divBdr>
      <w:divsChild>
        <w:div w:id="349721878">
          <w:marLeft w:val="0"/>
          <w:marRight w:val="0"/>
          <w:marTop w:val="0"/>
          <w:marBottom w:val="0"/>
          <w:divBdr>
            <w:top w:val="none" w:sz="0" w:space="0" w:color="auto"/>
            <w:left w:val="none" w:sz="0" w:space="0" w:color="auto"/>
            <w:bottom w:val="none" w:sz="0" w:space="0" w:color="auto"/>
            <w:right w:val="none" w:sz="0" w:space="0" w:color="auto"/>
          </w:divBdr>
        </w:div>
        <w:div w:id="753822142">
          <w:marLeft w:val="0"/>
          <w:marRight w:val="0"/>
          <w:marTop w:val="0"/>
          <w:marBottom w:val="0"/>
          <w:divBdr>
            <w:top w:val="none" w:sz="0" w:space="0" w:color="auto"/>
            <w:left w:val="none" w:sz="0" w:space="0" w:color="auto"/>
            <w:bottom w:val="none" w:sz="0" w:space="0" w:color="auto"/>
            <w:right w:val="none" w:sz="0" w:space="0" w:color="auto"/>
          </w:divBdr>
        </w:div>
        <w:div w:id="974412495">
          <w:marLeft w:val="0"/>
          <w:marRight w:val="0"/>
          <w:marTop w:val="0"/>
          <w:marBottom w:val="0"/>
          <w:divBdr>
            <w:top w:val="none" w:sz="0" w:space="0" w:color="auto"/>
            <w:left w:val="none" w:sz="0" w:space="0" w:color="auto"/>
            <w:bottom w:val="none" w:sz="0" w:space="0" w:color="auto"/>
            <w:right w:val="none" w:sz="0" w:space="0" w:color="auto"/>
          </w:divBdr>
        </w:div>
        <w:div w:id="1111316328">
          <w:marLeft w:val="0"/>
          <w:marRight w:val="0"/>
          <w:marTop w:val="0"/>
          <w:marBottom w:val="0"/>
          <w:divBdr>
            <w:top w:val="none" w:sz="0" w:space="0" w:color="auto"/>
            <w:left w:val="none" w:sz="0" w:space="0" w:color="auto"/>
            <w:bottom w:val="none" w:sz="0" w:space="0" w:color="auto"/>
            <w:right w:val="none" w:sz="0" w:space="0" w:color="auto"/>
          </w:divBdr>
          <w:divsChild>
            <w:div w:id="1597902447">
              <w:marLeft w:val="-75"/>
              <w:marRight w:val="0"/>
              <w:marTop w:val="30"/>
              <w:marBottom w:val="30"/>
              <w:divBdr>
                <w:top w:val="none" w:sz="0" w:space="0" w:color="auto"/>
                <w:left w:val="none" w:sz="0" w:space="0" w:color="auto"/>
                <w:bottom w:val="none" w:sz="0" w:space="0" w:color="auto"/>
                <w:right w:val="none" w:sz="0" w:space="0" w:color="auto"/>
              </w:divBdr>
              <w:divsChild>
                <w:div w:id="1856310610">
                  <w:marLeft w:val="0"/>
                  <w:marRight w:val="0"/>
                  <w:marTop w:val="0"/>
                  <w:marBottom w:val="0"/>
                  <w:divBdr>
                    <w:top w:val="none" w:sz="0" w:space="0" w:color="auto"/>
                    <w:left w:val="none" w:sz="0" w:space="0" w:color="auto"/>
                    <w:bottom w:val="none" w:sz="0" w:space="0" w:color="auto"/>
                    <w:right w:val="none" w:sz="0" w:space="0" w:color="auto"/>
                  </w:divBdr>
                  <w:divsChild>
                    <w:div w:id="67926591">
                      <w:marLeft w:val="0"/>
                      <w:marRight w:val="0"/>
                      <w:marTop w:val="0"/>
                      <w:marBottom w:val="0"/>
                      <w:divBdr>
                        <w:top w:val="none" w:sz="0" w:space="0" w:color="auto"/>
                        <w:left w:val="none" w:sz="0" w:space="0" w:color="auto"/>
                        <w:bottom w:val="none" w:sz="0" w:space="0" w:color="auto"/>
                        <w:right w:val="none" w:sz="0" w:space="0" w:color="auto"/>
                      </w:divBdr>
                    </w:div>
                    <w:div w:id="995034886">
                      <w:marLeft w:val="0"/>
                      <w:marRight w:val="0"/>
                      <w:marTop w:val="0"/>
                      <w:marBottom w:val="0"/>
                      <w:divBdr>
                        <w:top w:val="none" w:sz="0" w:space="0" w:color="auto"/>
                        <w:left w:val="none" w:sz="0" w:space="0" w:color="auto"/>
                        <w:bottom w:val="none" w:sz="0" w:space="0" w:color="auto"/>
                        <w:right w:val="none" w:sz="0" w:space="0" w:color="auto"/>
                      </w:divBdr>
                      <w:divsChild>
                        <w:div w:id="1326785773">
                          <w:marLeft w:val="0"/>
                          <w:marRight w:val="0"/>
                          <w:marTop w:val="30"/>
                          <w:marBottom w:val="30"/>
                          <w:divBdr>
                            <w:top w:val="none" w:sz="0" w:space="0" w:color="auto"/>
                            <w:left w:val="none" w:sz="0" w:space="0" w:color="auto"/>
                            <w:bottom w:val="none" w:sz="0" w:space="0" w:color="auto"/>
                            <w:right w:val="none" w:sz="0" w:space="0" w:color="auto"/>
                          </w:divBdr>
                          <w:divsChild>
                            <w:div w:id="745883054">
                              <w:marLeft w:val="0"/>
                              <w:marRight w:val="0"/>
                              <w:marTop w:val="0"/>
                              <w:marBottom w:val="0"/>
                              <w:divBdr>
                                <w:top w:val="none" w:sz="0" w:space="0" w:color="auto"/>
                                <w:left w:val="none" w:sz="0" w:space="0" w:color="auto"/>
                                <w:bottom w:val="none" w:sz="0" w:space="0" w:color="auto"/>
                                <w:right w:val="none" w:sz="0" w:space="0" w:color="auto"/>
                              </w:divBdr>
                              <w:divsChild>
                                <w:div w:id="1948191549">
                                  <w:marLeft w:val="0"/>
                                  <w:marRight w:val="0"/>
                                  <w:marTop w:val="0"/>
                                  <w:marBottom w:val="0"/>
                                  <w:divBdr>
                                    <w:top w:val="none" w:sz="0" w:space="0" w:color="auto"/>
                                    <w:left w:val="none" w:sz="0" w:space="0" w:color="auto"/>
                                    <w:bottom w:val="none" w:sz="0" w:space="0" w:color="auto"/>
                                    <w:right w:val="none" w:sz="0" w:space="0" w:color="auto"/>
                                  </w:divBdr>
                                </w:div>
                              </w:divsChild>
                            </w:div>
                            <w:div w:id="1635215012">
                              <w:marLeft w:val="0"/>
                              <w:marRight w:val="0"/>
                              <w:marTop w:val="0"/>
                              <w:marBottom w:val="0"/>
                              <w:divBdr>
                                <w:top w:val="none" w:sz="0" w:space="0" w:color="auto"/>
                                <w:left w:val="none" w:sz="0" w:space="0" w:color="auto"/>
                                <w:bottom w:val="none" w:sz="0" w:space="0" w:color="auto"/>
                                <w:right w:val="none" w:sz="0" w:space="0" w:color="auto"/>
                              </w:divBdr>
                              <w:divsChild>
                                <w:div w:id="7693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140">
                      <w:marLeft w:val="0"/>
                      <w:marRight w:val="0"/>
                      <w:marTop w:val="0"/>
                      <w:marBottom w:val="0"/>
                      <w:divBdr>
                        <w:top w:val="none" w:sz="0" w:space="0" w:color="auto"/>
                        <w:left w:val="none" w:sz="0" w:space="0" w:color="auto"/>
                        <w:bottom w:val="none" w:sz="0" w:space="0" w:color="auto"/>
                        <w:right w:val="none" w:sz="0" w:space="0" w:color="auto"/>
                      </w:divBdr>
                      <w:divsChild>
                        <w:div w:id="603465028">
                          <w:marLeft w:val="0"/>
                          <w:marRight w:val="0"/>
                          <w:marTop w:val="30"/>
                          <w:marBottom w:val="30"/>
                          <w:divBdr>
                            <w:top w:val="none" w:sz="0" w:space="0" w:color="auto"/>
                            <w:left w:val="none" w:sz="0" w:space="0" w:color="auto"/>
                            <w:bottom w:val="none" w:sz="0" w:space="0" w:color="auto"/>
                            <w:right w:val="none" w:sz="0" w:space="0" w:color="auto"/>
                          </w:divBdr>
                          <w:divsChild>
                            <w:div w:id="916012694">
                              <w:marLeft w:val="0"/>
                              <w:marRight w:val="0"/>
                              <w:marTop w:val="0"/>
                              <w:marBottom w:val="0"/>
                              <w:divBdr>
                                <w:top w:val="none" w:sz="0" w:space="0" w:color="auto"/>
                                <w:left w:val="none" w:sz="0" w:space="0" w:color="auto"/>
                                <w:bottom w:val="none" w:sz="0" w:space="0" w:color="auto"/>
                                <w:right w:val="none" w:sz="0" w:space="0" w:color="auto"/>
                              </w:divBdr>
                              <w:divsChild>
                                <w:div w:id="1322545358">
                                  <w:marLeft w:val="0"/>
                                  <w:marRight w:val="0"/>
                                  <w:marTop w:val="0"/>
                                  <w:marBottom w:val="0"/>
                                  <w:divBdr>
                                    <w:top w:val="none" w:sz="0" w:space="0" w:color="auto"/>
                                    <w:left w:val="none" w:sz="0" w:space="0" w:color="auto"/>
                                    <w:bottom w:val="none" w:sz="0" w:space="0" w:color="auto"/>
                                    <w:right w:val="none" w:sz="0" w:space="0" w:color="auto"/>
                                  </w:divBdr>
                                </w:div>
                              </w:divsChild>
                            </w:div>
                            <w:div w:id="1418095488">
                              <w:marLeft w:val="0"/>
                              <w:marRight w:val="0"/>
                              <w:marTop w:val="0"/>
                              <w:marBottom w:val="0"/>
                              <w:divBdr>
                                <w:top w:val="none" w:sz="0" w:space="0" w:color="auto"/>
                                <w:left w:val="none" w:sz="0" w:space="0" w:color="auto"/>
                                <w:bottom w:val="none" w:sz="0" w:space="0" w:color="auto"/>
                                <w:right w:val="none" w:sz="0" w:space="0" w:color="auto"/>
                              </w:divBdr>
                              <w:divsChild>
                                <w:div w:id="2347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1609">
                      <w:marLeft w:val="0"/>
                      <w:marRight w:val="0"/>
                      <w:marTop w:val="0"/>
                      <w:marBottom w:val="0"/>
                      <w:divBdr>
                        <w:top w:val="none" w:sz="0" w:space="0" w:color="auto"/>
                        <w:left w:val="none" w:sz="0" w:space="0" w:color="auto"/>
                        <w:bottom w:val="none" w:sz="0" w:space="0" w:color="auto"/>
                        <w:right w:val="none" w:sz="0" w:space="0" w:color="auto"/>
                      </w:divBdr>
                    </w:div>
                    <w:div w:id="1969624756">
                      <w:marLeft w:val="0"/>
                      <w:marRight w:val="0"/>
                      <w:marTop w:val="0"/>
                      <w:marBottom w:val="0"/>
                      <w:divBdr>
                        <w:top w:val="none" w:sz="0" w:space="0" w:color="auto"/>
                        <w:left w:val="none" w:sz="0" w:space="0" w:color="auto"/>
                        <w:bottom w:val="none" w:sz="0" w:space="0" w:color="auto"/>
                        <w:right w:val="none" w:sz="0" w:space="0" w:color="auto"/>
                      </w:divBdr>
                    </w:div>
                  </w:divsChild>
                </w:div>
                <w:div w:id="1890915545">
                  <w:marLeft w:val="0"/>
                  <w:marRight w:val="0"/>
                  <w:marTop w:val="0"/>
                  <w:marBottom w:val="0"/>
                  <w:divBdr>
                    <w:top w:val="none" w:sz="0" w:space="0" w:color="auto"/>
                    <w:left w:val="none" w:sz="0" w:space="0" w:color="auto"/>
                    <w:bottom w:val="none" w:sz="0" w:space="0" w:color="auto"/>
                    <w:right w:val="none" w:sz="0" w:space="0" w:color="auto"/>
                  </w:divBdr>
                  <w:divsChild>
                    <w:div w:id="15877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21796">
          <w:marLeft w:val="0"/>
          <w:marRight w:val="0"/>
          <w:marTop w:val="0"/>
          <w:marBottom w:val="0"/>
          <w:divBdr>
            <w:top w:val="none" w:sz="0" w:space="0" w:color="auto"/>
            <w:left w:val="none" w:sz="0" w:space="0" w:color="auto"/>
            <w:bottom w:val="none" w:sz="0" w:space="0" w:color="auto"/>
            <w:right w:val="none" w:sz="0" w:space="0" w:color="auto"/>
          </w:divBdr>
          <w:divsChild>
            <w:div w:id="1725835763">
              <w:marLeft w:val="-75"/>
              <w:marRight w:val="0"/>
              <w:marTop w:val="30"/>
              <w:marBottom w:val="30"/>
              <w:divBdr>
                <w:top w:val="none" w:sz="0" w:space="0" w:color="auto"/>
                <w:left w:val="none" w:sz="0" w:space="0" w:color="auto"/>
                <w:bottom w:val="none" w:sz="0" w:space="0" w:color="auto"/>
                <w:right w:val="none" w:sz="0" w:space="0" w:color="auto"/>
              </w:divBdr>
              <w:divsChild>
                <w:div w:id="640890015">
                  <w:marLeft w:val="0"/>
                  <w:marRight w:val="0"/>
                  <w:marTop w:val="0"/>
                  <w:marBottom w:val="0"/>
                  <w:divBdr>
                    <w:top w:val="none" w:sz="0" w:space="0" w:color="auto"/>
                    <w:left w:val="none" w:sz="0" w:space="0" w:color="auto"/>
                    <w:bottom w:val="none" w:sz="0" w:space="0" w:color="auto"/>
                    <w:right w:val="none" w:sz="0" w:space="0" w:color="auto"/>
                  </w:divBdr>
                  <w:divsChild>
                    <w:div w:id="1989625108">
                      <w:marLeft w:val="0"/>
                      <w:marRight w:val="0"/>
                      <w:marTop w:val="0"/>
                      <w:marBottom w:val="0"/>
                      <w:divBdr>
                        <w:top w:val="none" w:sz="0" w:space="0" w:color="auto"/>
                        <w:left w:val="none" w:sz="0" w:space="0" w:color="auto"/>
                        <w:bottom w:val="none" w:sz="0" w:space="0" w:color="auto"/>
                        <w:right w:val="none" w:sz="0" w:space="0" w:color="auto"/>
                      </w:divBdr>
                    </w:div>
                  </w:divsChild>
                </w:div>
                <w:div w:id="1804735169">
                  <w:marLeft w:val="0"/>
                  <w:marRight w:val="0"/>
                  <w:marTop w:val="0"/>
                  <w:marBottom w:val="0"/>
                  <w:divBdr>
                    <w:top w:val="none" w:sz="0" w:space="0" w:color="auto"/>
                    <w:left w:val="none" w:sz="0" w:space="0" w:color="auto"/>
                    <w:bottom w:val="none" w:sz="0" w:space="0" w:color="auto"/>
                    <w:right w:val="none" w:sz="0" w:space="0" w:color="auto"/>
                  </w:divBdr>
                  <w:divsChild>
                    <w:div w:id="11988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589">
          <w:marLeft w:val="0"/>
          <w:marRight w:val="0"/>
          <w:marTop w:val="0"/>
          <w:marBottom w:val="0"/>
          <w:divBdr>
            <w:top w:val="none" w:sz="0" w:space="0" w:color="auto"/>
            <w:left w:val="none" w:sz="0" w:space="0" w:color="auto"/>
            <w:bottom w:val="none" w:sz="0" w:space="0" w:color="auto"/>
            <w:right w:val="none" w:sz="0" w:space="0" w:color="auto"/>
          </w:divBdr>
        </w:div>
        <w:div w:id="1639530158">
          <w:marLeft w:val="0"/>
          <w:marRight w:val="0"/>
          <w:marTop w:val="0"/>
          <w:marBottom w:val="0"/>
          <w:divBdr>
            <w:top w:val="none" w:sz="0" w:space="0" w:color="auto"/>
            <w:left w:val="none" w:sz="0" w:space="0" w:color="auto"/>
            <w:bottom w:val="none" w:sz="0" w:space="0" w:color="auto"/>
            <w:right w:val="none" w:sz="0" w:space="0" w:color="auto"/>
          </w:divBdr>
        </w:div>
        <w:div w:id="1658456716">
          <w:marLeft w:val="0"/>
          <w:marRight w:val="0"/>
          <w:marTop w:val="0"/>
          <w:marBottom w:val="0"/>
          <w:divBdr>
            <w:top w:val="none" w:sz="0" w:space="0" w:color="auto"/>
            <w:left w:val="none" w:sz="0" w:space="0" w:color="auto"/>
            <w:bottom w:val="none" w:sz="0" w:space="0" w:color="auto"/>
            <w:right w:val="none" w:sz="0" w:space="0" w:color="auto"/>
          </w:divBdr>
          <w:divsChild>
            <w:div w:id="610748624">
              <w:marLeft w:val="-75"/>
              <w:marRight w:val="0"/>
              <w:marTop w:val="30"/>
              <w:marBottom w:val="30"/>
              <w:divBdr>
                <w:top w:val="none" w:sz="0" w:space="0" w:color="auto"/>
                <w:left w:val="none" w:sz="0" w:space="0" w:color="auto"/>
                <w:bottom w:val="none" w:sz="0" w:space="0" w:color="auto"/>
                <w:right w:val="none" w:sz="0" w:space="0" w:color="auto"/>
              </w:divBdr>
              <w:divsChild>
                <w:div w:id="982081697">
                  <w:marLeft w:val="0"/>
                  <w:marRight w:val="0"/>
                  <w:marTop w:val="0"/>
                  <w:marBottom w:val="0"/>
                  <w:divBdr>
                    <w:top w:val="none" w:sz="0" w:space="0" w:color="auto"/>
                    <w:left w:val="none" w:sz="0" w:space="0" w:color="auto"/>
                    <w:bottom w:val="none" w:sz="0" w:space="0" w:color="auto"/>
                    <w:right w:val="none" w:sz="0" w:space="0" w:color="auto"/>
                  </w:divBdr>
                  <w:divsChild>
                    <w:div w:id="1284964614">
                      <w:marLeft w:val="0"/>
                      <w:marRight w:val="0"/>
                      <w:marTop w:val="0"/>
                      <w:marBottom w:val="0"/>
                      <w:divBdr>
                        <w:top w:val="none" w:sz="0" w:space="0" w:color="auto"/>
                        <w:left w:val="none" w:sz="0" w:space="0" w:color="auto"/>
                        <w:bottom w:val="none" w:sz="0" w:space="0" w:color="auto"/>
                        <w:right w:val="none" w:sz="0" w:space="0" w:color="auto"/>
                      </w:divBdr>
                    </w:div>
                  </w:divsChild>
                </w:div>
                <w:div w:id="2121561512">
                  <w:marLeft w:val="0"/>
                  <w:marRight w:val="0"/>
                  <w:marTop w:val="0"/>
                  <w:marBottom w:val="0"/>
                  <w:divBdr>
                    <w:top w:val="none" w:sz="0" w:space="0" w:color="auto"/>
                    <w:left w:val="none" w:sz="0" w:space="0" w:color="auto"/>
                    <w:bottom w:val="none" w:sz="0" w:space="0" w:color="auto"/>
                    <w:right w:val="none" w:sz="0" w:space="0" w:color="auto"/>
                  </w:divBdr>
                  <w:divsChild>
                    <w:div w:id="1016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976258">
      <w:bodyDiv w:val="1"/>
      <w:marLeft w:val="0"/>
      <w:marRight w:val="0"/>
      <w:marTop w:val="0"/>
      <w:marBottom w:val="0"/>
      <w:divBdr>
        <w:top w:val="none" w:sz="0" w:space="0" w:color="auto"/>
        <w:left w:val="none" w:sz="0" w:space="0" w:color="auto"/>
        <w:bottom w:val="none" w:sz="0" w:space="0" w:color="auto"/>
        <w:right w:val="none" w:sz="0" w:space="0" w:color="auto"/>
      </w:divBdr>
      <w:divsChild>
        <w:div w:id="656686779">
          <w:marLeft w:val="0"/>
          <w:marRight w:val="0"/>
          <w:marTop w:val="0"/>
          <w:marBottom w:val="0"/>
          <w:divBdr>
            <w:top w:val="none" w:sz="0" w:space="0" w:color="auto"/>
            <w:left w:val="none" w:sz="0" w:space="0" w:color="auto"/>
            <w:bottom w:val="none" w:sz="0" w:space="0" w:color="auto"/>
            <w:right w:val="none" w:sz="0" w:space="0" w:color="auto"/>
          </w:divBdr>
        </w:div>
        <w:div w:id="685835596">
          <w:marLeft w:val="0"/>
          <w:marRight w:val="0"/>
          <w:marTop w:val="0"/>
          <w:marBottom w:val="0"/>
          <w:divBdr>
            <w:top w:val="none" w:sz="0" w:space="0" w:color="auto"/>
            <w:left w:val="none" w:sz="0" w:space="0" w:color="auto"/>
            <w:bottom w:val="none" w:sz="0" w:space="0" w:color="auto"/>
            <w:right w:val="none" w:sz="0" w:space="0" w:color="auto"/>
          </w:divBdr>
        </w:div>
        <w:div w:id="913469116">
          <w:marLeft w:val="0"/>
          <w:marRight w:val="0"/>
          <w:marTop w:val="0"/>
          <w:marBottom w:val="0"/>
          <w:divBdr>
            <w:top w:val="none" w:sz="0" w:space="0" w:color="auto"/>
            <w:left w:val="none" w:sz="0" w:space="0" w:color="auto"/>
            <w:bottom w:val="none" w:sz="0" w:space="0" w:color="auto"/>
            <w:right w:val="none" w:sz="0" w:space="0" w:color="auto"/>
          </w:divBdr>
        </w:div>
        <w:div w:id="1622415715">
          <w:marLeft w:val="0"/>
          <w:marRight w:val="0"/>
          <w:marTop w:val="0"/>
          <w:marBottom w:val="0"/>
          <w:divBdr>
            <w:top w:val="none" w:sz="0" w:space="0" w:color="auto"/>
            <w:left w:val="none" w:sz="0" w:space="0" w:color="auto"/>
            <w:bottom w:val="none" w:sz="0" w:space="0" w:color="auto"/>
            <w:right w:val="none" w:sz="0" w:space="0" w:color="auto"/>
          </w:divBdr>
        </w:div>
        <w:div w:id="1961179214">
          <w:marLeft w:val="0"/>
          <w:marRight w:val="0"/>
          <w:marTop w:val="0"/>
          <w:marBottom w:val="0"/>
          <w:divBdr>
            <w:top w:val="none" w:sz="0" w:space="0" w:color="auto"/>
            <w:left w:val="none" w:sz="0" w:space="0" w:color="auto"/>
            <w:bottom w:val="none" w:sz="0" w:space="0" w:color="auto"/>
            <w:right w:val="none" w:sz="0" w:space="0" w:color="auto"/>
          </w:divBdr>
        </w:div>
      </w:divsChild>
    </w:div>
    <w:div w:id="1061100588">
      <w:bodyDiv w:val="1"/>
      <w:marLeft w:val="0"/>
      <w:marRight w:val="0"/>
      <w:marTop w:val="0"/>
      <w:marBottom w:val="0"/>
      <w:divBdr>
        <w:top w:val="none" w:sz="0" w:space="0" w:color="auto"/>
        <w:left w:val="none" w:sz="0" w:space="0" w:color="auto"/>
        <w:bottom w:val="none" w:sz="0" w:space="0" w:color="auto"/>
        <w:right w:val="none" w:sz="0" w:space="0" w:color="auto"/>
      </w:divBdr>
    </w:div>
    <w:div w:id="1439252760">
      <w:bodyDiv w:val="1"/>
      <w:marLeft w:val="0"/>
      <w:marRight w:val="0"/>
      <w:marTop w:val="0"/>
      <w:marBottom w:val="0"/>
      <w:divBdr>
        <w:top w:val="none" w:sz="0" w:space="0" w:color="auto"/>
        <w:left w:val="none" w:sz="0" w:space="0" w:color="auto"/>
        <w:bottom w:val="none" w:sz="0" w:space="0" w:color="auto"/>
        <w:right w:val="none" w:sz="0" w:space="0" w:color="auto"/>
      </w:divBdr>
      <w:divsChild>
        <w:div w:id="555433904">
          <w:marLeft w:val="0"/>
          <w:marRight w:val="0"/>
          <w:marTop w:val="0"/>
          <w:marBottom w:val="0"/>
          <w:divBdr>
            <w:top w:val="none" w:sz="0" w:space="0" w:color="auto"/>
            <w:left w:val="none" w:sz="0" w:space="0" w:color="auto"/>
            <w:bottom w:val="none" w:sz="0" w:space="0" w:color="auto"/>
            <w:right w:val="none" w:sz="0" w:space="0" w:color="auto"/>
          </w:divBdr>
        </w:div>
        <w:div w:id="1226646264">
          <w:marLeft w:val="0"/>
          <w:marRight w:val="0"/>
          <w:marTop w:val="0"/>
          <w:marBottom w:val="0"/>
          <w:divBdr>
            <w:top w:val="none" w:sz="0" w:space="0" w:color="auto"/>
            <w:left w:val="none" w:sz="0" w:space="0" w:color="auto"/>
            <w:bottom w:val="none" w:sz="0" w:space="0" w:color="auto"/>
            <w:right w:val="none" w:sz="0" w:space="0" w:color="auto"/>
          </w:divBdr>
        </w:div>
      </w:divsChild>
    </w:div>
    <w:div w:id="1474566819">
      <w:bodyDiv w:val="1"/>
      <w:marLeft w:val="0"/>
      <w:marRight w:val="0"/>
      <w:marTop w:val="0"/>
      <w:marBottom w:val="0"/>
      <w:divBdr>
        <w:top w:val="none" w:sz="0" w:space="0" w:color="auto"/>
        <w:left w:val="none" w:sz="0" w:space="0" w:color="auto"/>
        <w:bottom w:val="none" w:sz="0" w:space="0" w:color="auto"/>
        <w:right w:val="none" w:sz="0" w:space="0" w:color="auto"/>
      </w:divBdr>
      <w:divsChild>
        <w:div w:id="1290013876">
          <w:marLeft w:val="0"/>
          <w:marRight w:val="0"/>
          <w:marTop w:val="0"/>
          <w:marBottom w:val="0"/>
          <w:divBdr>
            <w:top w:val="none" w:sz="0" w:space="0" w:color="auto"/>
            <w:left w:val="none" w:sz="0" w:space="0" w:color="auto"/>
            <w:bottom w:val="none" w:sz="0" w:space="0" w:color="auto"/>
            <w:right w:val="none" w:sz="0" w:space="0" w:color="auto"/>
          </w:divBdr>
          <w:divsChild>
            <w:div w:id="1264074271">
              <w:marLeft w:val="0"/>
              <w:marRight w:val="0"/>
              <w:marTop w:val="30"/>
              <w:marBottom w:val="30"/>
              <w:divBdr>
                <w:top w:val="none" w:sz="0" w:space="0" w:color="auto"/>
                <w:left w:val="none" w:sz="0" w:space="0" w:color="auto"/>
                <w:bottom w:val="none" w:sz="0" w:space="0" w:color="auto"/>
                <w:right w:val="none" w:sz="0" w:space="0" w:color="auto"/>
              </w:divBdr>
              <w:divsChild>
                <w:div w:id="47847121">
                  <w:marLeft w:val="0"/>
                  <w:marRight w:val="0"/>
                  <w:marTop w:val="0"/>
                  <w:marBottom w:val="0"/>
                  <w:divBdr>
                    <w:top w:val="none" w:sz="0" w:space="0" w:color="auto"/>
                    <w:left w:val="none" w:sz="0" w:space="0" w:color="auto"/>
                    <w:bottom w:val="none" w:sz="0" w:space="0" w:color="auto"/>
                    <w:right w:val="none" w:sz="0" w:space="0" w:color="auto"/>
                  </w:divBdr>
                  <w:divsChild>
                    <w:div w:id="522596372">
                      <w:marLeft w:val="0"/>
                      <w:marRight w:val="0"/>
                      <w:marTop w:val="0"/>
                      <w:marBottom w:val="0"/>
                      <w:divBdr>
                        <w:top w:val="none" w:sz="0" w:space="0" w:color="auto"/>
                        <w:left w:val="none" w:sz="0" w:space="0" w:color="auto"/>
                        <w:bottom w:val="none" w:sz="0" w:space="0" w:color="auto"/>
                        <w:right w:val="none" w:sz="0" w:space="0" w:color="auto"/>
                      </w:divBdr>
                    </w:div>
                  </w:divsChild>
                </w:div>
                <w:div w:id="266541976">
                  <w:marLeft w:val="0"/>
                  <w:marRight w:val="0"/>
                  <w:marTop w:val="0"/>
                  <w:marBottom w:val="0"/>
                  <w:divBdr>
                    <w:top w:val="none" w:sz="0" w:space="0" w:color="auto"/>
                    <w:left w:val="none" w:sz="0" w:space="0" w:color="auto"/>
                    <w:bottom w:val="none" w:sz="0" w:space="0" w:color="auto"/>
                    <w:right w:val="none" w:sz="0" w:space="0" w:color="auto"/>
                  </w:divBdr>
                  <w:divsChild>
                    <w:div w:id="20149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8488">
          <w:marLeft w:val="0"/>
          <w:marRight w:val="0"/>
          <w:marTop w:val="0"/>
          <w:marBottom w:val="0"/>
          <w:divBdr>
            <w:top w:val="none" w:sz="0" w:space="0" w:color="auto"/>
            <w:left w:val="none" w:sz="0" w:space="0" w:color="auto"/>
            <w:bottom w:val="none" w:sz="0" w:space="0" w:color="auto"/>
            <w:right w:val="none" w:sz="0" w:space="0" w:color="auto"/>
          </w:divBdr>
        </w:div>
        <w:div w:id="1974404003">
          <w:marLeft w:val="0"/>
          <w:marRight w:val="0"/>
          <w:marTop w:val="0"/>
          <w:marBottom w:val="0"/>
          <w:divBdr>
            <w:top w:val="none" w:sz="0" w:space="0" w:color="auto"/>
            <w:left w:val="none" w:sz="0" w:space="0" w:color="auto"/>
            <w:bottom w:val="none" w:sz="0" w:space="0" w:color="auto"/>
            <w:right w:val="none" w:sz="0" w:space="0" w:color="auto"/>
          </w:divBdr>
        </w:div>
        <w:div w:id="2074884106">
          <w:marLeft w:val="0"/>
          <w:marRight w:val="0"/>
          <w:marTop w:val="0"/>
          <w:marBottom w:val="0"/>
          <w:divBdr>
            <w:top w:val="none" w:sz="0" w:space="0" w:color="auto"/>
            <w:left w:val="none" w:sz="0" w:space="0" w:color="auto"/>
            <w:bottom w:val="none" w:sz="0" w:space="0" w:color="auto"/>
            <w:right w:val="none" w:sz="0" w:space="0" w:color="auto"/>
          </w:divBdr>
          <w:divsChild>
            <w:div w:id="1259103042">
              <w:marLeft w:val="0"/>
              <w:marRight w:val="0"/>
              <w:marTop w:val="30"/>
              <w:marBottom w:val="30"/>
              <w:divBdr>
                <w:top w:val="none" w:sz="0" w:space="0" w:color="auto"/>
                <w:left w:val="none" w:sz="0" w:space="0" w:color="auto"/>
                <w:bottom w:val="none" w:sz="0" w:space="0" w:color="auto"/>
                <w:right w:val="none" w:sz="0" w:space="0" w:color="auto"/>
              </w:divBdr>
              <w:divsChild>
                <w:div w:id="448552245">
                  <w:marLeft w:val="0"/>
                  <w:marRight w:val="0"/>
                  <w:marTop w:val="0"/>
                  <w:marBottom w:val="0"/>
                  <w:divBdr>
                    <w:top w:val="none" w:sz="0" w:space="0" w:color="auto"/>
                    <w:left w:val="none" w:sz="0" w:space="0" w:color="auto"/>
                    <w:bottom w:val="none" w:sz="0" w:space="0" w:color="auto"/>
                    <w:right w:val="none" w:sz="0" w:space="0" w:color="auto"/>
                  </w:divBdr>
                  <w:divsChild>
                    <w:div w:id="325791064">
                      <w:marLeft w:val="0"/>
                      <w:marRight w:val="0"/>
                      <w:marTop w:val="0"/>
                      <w:marBottom w:val="0"/>
                      <w:divBdr>
                        <w:top w:val="none" w:sz="0" w:space="0" w:color="auto"/>
                        <w:left w:val="none" w:sz="0" w:space="0" w:color="auto"/>
                        <w:bottom w:val="none" w:sz="0" w:space="0" w:color="auto"/>
                        <w:right w:val="none" w:sz="0" w:space="0" w:color="auto"/>
                      </w:divBdr>
                    </w:div>
                  </w:divsChild>
                </w:div>
                <w:div w:id="492063472">
                  <w:marLeft w:val="0"/>
                  <w:marRight w:val="0"/>
                  <w:marTop w:val="0"/>
                  <w:marBottom w:val="0"/>
                  <w:divBdr>
                    <w:top w:val="none" w:sz="0" w:space="0" w:color="auto"/>
                    <w:left w:val="none" w:sz="0" w:space="0" w:color="auto"/>
                    <w:bottom w:val="none" w:sz="0" w:space="0" w:color="auto"/>
                    <w:right w:val="none" w:sz="0" w:space="0" w:color="auto"/>
                  </w:divBdr>
                  <w:divsChild>
                    <w:div w:id="15536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66946">
      <w:bodyDiv w:val="1"/>
      <w:marLeft w:val="0"/>
      <w:marRight w:val="0"/>
      <w:marTop w:val="0"/>
      <w:marBottom w:val="0"/>
      <w:divBdr>
        <w:top w:val="none" w:sz="0" w:space="0" w:color="auto"/>
        <w:left w:val="none" w:sz="0" w:space="0" w:color="auto"/>
        <w:bottom w:val="none" w:sz="0" w:space="0" w:color="auto"/>
        <w:right w:val="none" w:sz="0" w:space="0" w:color="auto"/>
      </w:divBdr>
      <w:divsChild>
        <w:div w:id="203712264">
          <w:marLeft w:val="0"/>
          <w:marRight w:val="0"/>
          <w:marTop w:val="0"/>
          <w:marBottom w:val="0"/>
          <w:divBdr>
            <w:top w:val="none" w:sz="0" w:space="0" w:color="auto"/>
            <w:left w:val="none" w:sz="0" w:space="0" w:color="auto"/>
            <w:bottom w:val="none" w:sz="0" w:space="0" w:color="auto"/>
            <w:right w:val="none" w:sz="0" w:space="0" w:color="auto"/>
          </w:divBdr>
        </w:div>
        <w:div w:id="449516979">
          <w:marLeft w:val="0"/>
          <w:marRight w:val="0"/>
          <w:marTop w:val="0"/>
          <w:marBottom w:val="0"/>
          <w:divBdr>
            <w:top w:val="none" w:sz="0" w:space="0" w:color="auto"/>
            <w:left w:val="none" w:sz="0" w:space="0" w:color="auto"/>
            <w:bottom w:val="none" w:sz="0" w:space="0" w:color="auto"/>
            <w:right w:val="none" w:sz="0" w:space="0" w:color="auto"/>
          </w:divBdr>
        </w:div>
        <w:div w:id="503206685">
          <w:marLeft w:val="0"/>
          <w:marRight w:val="0"/>
          <w:marTop w:val="0"/>
          <w:marBottom w:val="0"/>
          <w:divBdr>
            <w:top w:val="none" w:sz="0" w:space="0" w:color="auto"/>
            <w:left w:val="none" w:sz="0" w:space="0" w:color="auto"/>
            <w:bottom w:val="none" w:sz="0" w:space="0" w:color="auto"/>
            <w:right w:val="none" w:sz="0" w:space="0" w:color="auto"/>
          </w:divBdr>
        </w:div>
        <w:div w:id="583876386">
          <w:marLeft w:val="0"/>
          <w:marRight w:val="0"/>
          <w:marTop w:val="0"/>
          <w:marBottom w:val="0"/>
          <w:divBdr>
            <w:top w:val="none" w:sz="0" w:space="0" w:color="auto"/>
            <w:left w:val="none" w:sz="0" w:space="0" w:color="auto"/>
            <w:bottom w:val="none" w:sz="0" w:space="0" w:color="auto"/>
            <w:right w:val="none" w:sz="0" w:space="0" w:color="auto"/>
          </w:divBdr>
        </w:div>
        <w:div w:id="670106598">
          <w:marLeft w:val="0"/>
          <w:marRight w:val="0"/>
          <w:marTop w:val="0"/>
          <w:marBottom w:val="0"/>
          <w:divBdr>
            <w:top w:val="none" w:sz="0" w:space="0" w:color="auto"/>
            <w:left w:val="none" w:sz="0" w:space="0" w:color="auto"/>
            <w:bottom w:val="none" w:sz="0" w:space="0" w:color="auto"/>
            <w:right w:val="none" w:sz="0" w:space="0" w:color="auto"/>
          </w:divBdr>
        </w:div>
        <w:div w:id="718676395">
          <w:marLeft w:val="0"/>
          <w:marRight w:val="0"/>
          <w:marTop w:val="0"/>
          <w:marBottom w:val="0"/>
          <w:divBdr>
            <w:top w:val="none" w:sz="0" w:space="0" w:color="auto"/>
            <w:left w:val="none" w:sz="0" w:space="0" w:color="auto"/>
            <w:bottom w:val="none" w:sz="0" w:space="0" w:color="auto"/>
            <w:right w:val="none" w:sz="0" w:space="0" w:color="auto"/>
          </w:divBdr>
        </w:div>
        <w:div w:id="1082873849">
          <w:marLeft w:val="0"/>
          <w:marRight w:val="0"/>
          <w:marTop w:val="0"/>
          <w:marBottom w:val="0"/>
          <w:divBdr>
            <w:top w:val="none" w:sz="0" w:space="0" w:color="auto"/>
            <w:left w:val="none" w:sz="0" w:space="0" w:color="auto"/>
            <w:bottom w:val="none" w:sz="0" w:space="0" w:color="auto"/>
            <w:right w:val="none" w:sz="0" w:space="0" w:color="auto"/>
          </w:divBdr>
        </w:div>
        <w:div w:id="1151798701">
          <w:marLeft w:val="0"/>
          <w:marRight w:val="0"/>
          <w:marTop w:val="0"/>
          <w:marBottom w:val="0"/>
          <w:divBdr>
            <w:top w:val="none" w:sz="0" w:space="0" w:color="auto"/>
            <w:left w:val="none" w:sz="0" w:space="0" w:color="auto"/>
            <w:bottom w:val="none" w:sz="0" w:space="0" w:color="auto"/>
            <w:right w:val="none" w:sz="0" w:space="0" w:color="auto"/>
          </w:divBdr>
        </w:div>
        <w:div w:id="1169365699">
          <w:marLeft w:val="0"/>
          <w:marRight w:val="0"/>
          <w:marTop w:val="0"/>
          <w:marBottom w:val="0"/>
          <w:divBdr>
            <w:top w:val="none" w:sz="0" w:space="0" w:color="auto"/>
            <w:left w:val="none" w:sz="0" w:space="0" w:color="auto"/>
            <w:bottom w:val="none" w:sz="0" w:space="0" w:color="auto"/>
            <w:right w:val="none" w:sz="0" w:space="0" w:color="auto"/>
          </w:divBdr>
        </w:div>
        <w:div w:id="1753165729">
          <w:marLeft w:val="0"/>
          <w:marRight w:val="0"/>
          <w:marTop w:val="0"/>
          <w:marBottom w:val="0"/>
          <w:divBdr>
            <w:top w:val="none" w:sz="0" w:space="0" w:color="auto"/>
            <w:left w:val="none" w:sz="0" w:space="0" w:color="auto"/>
            <w:bottom w:val="none" w:sz="0" w:space="0" w:color="auto"/>
            <w:right w:val="none" w:sz="0" w:space="0" w:color="auto"/>
          </w:divBdr>
        </w:div>
        <w:div w:id="1834176767">
          <w:marLeft w:val="0"/>
          <w:marRight w:val="0"/>
          <w:marTop w:val="0"/>
          <w:marBottom w:val="0"/>
          <w:divBdr>
            <w:top w:val="none" w:sz="0" w:space="0" w:color="auto"/>
            <w:left w:val="none" w:sz="0" w:space="0" w:color="auto"/>
            <w:bottom w:val="none" w:sz="0" w:space="0" w:color="auto"/>
            <w:right w:val="none" w:sz="0" w:space="0" w:color="auto"/>
          </w:divBdr>
        </w:div>
        <w:div w:id="1846358418">
          <w:marLeft w:val="0"/>
          <w:marRight w:val="0"/>
          <w:marTop w:val="0"/>
          <w:marBottom w:val="0"/>
          <w:divBdr>
            <w:top w:val="none" w:sz="0" w:space="0" w:color="auto"/>
            <w:left w:val="none" w:sz="0" w:space="0" w:color="auto"/>
            <w:bottom w:val="none" w:sz="0" w:space="0" w:color="auto"/>
            <w:right w:val="none" w:sz="0" w:space="0" w:color="auto"/>
          </w:divBdr>
        </w:div>
        <w:div w:id="2106804789">
          <w:marLeft w:val="0"/>
          <w:marRight w:val="0"/>
          <w:marTop w:val="0"/>
          <w:marBottom w:val="0"/>
          <w:divBdr>
            <w:top w:val="none" w:sz="0" w:space="0" w:color="auto"/>
            <w:left w:val="none" w:sz="0" w:space="0" w:color="auto"/>
            <w:bottom w:val="none" w:sz="0" w:space="0" w:color="auto"/>
            <w:right w:val="none" w:sz="0" w:space="0" w:color="auto"/>
          </w:divBdr>
        </w:div>
        <w:div w:id="2109738775">
          <w:marLeft w:val="0"/>
          <w:marRight w:val="0"/>
          <w:marTop w:val="0"/>
          <w:marBottom w:val="0"/>
          <w:divBdr>
            <w:top w:val="none" w:sz="0" w:space="0" w:color="auto"/>
            <w:left w:val="none" w:sz="0" w:space="0" w:color="auto"/>
            <w:bottom w:val="none" w:sz="0" w:space="0" w:color="auto"/>
            <w:right w:val="none" w:sz="0" w:space="0" w:color="auto"/>
          </w:divBdr>
        </w:div>
      </w:divsChild>
    </w:div>
    <w:div w:id="1814330975">
      <w:bodyDiv w:val="1"/>
      <w:marLeft w:val="0"/>
      <w:marRight w:val="0"/>
      <w:marTop w:val="0"/>
      <w:marBottom w:val="0"/>
      <w:divBdr>
        <w:top w:val="none" w:sz="0" w:space="0" w:color="auto"/>
        <w:left w:val="none" w:sz="0" w:space="0" w:color="auto"/>
        <w:bottom w:val="none" w:sz="0" w:space="0" w:color="auto"/>
        <w:right w:val="none" w:sz="0" w:space="0" w:color="auto"/>
      </w:divBdr>
    </w:div>
    <w:div w:id="1847667777">
      <w:bodyDiv w:val="1"/>
      <w:marLeft w:val="0"/>
      <w:marRight w:val="0"/>
      <w:marTop w:val="0"/>
      <w:marBottom w:val="0"/>
      <w:divBdr>
        <w:top w:val="none" w:sz="0" w:space="0" w:color="auto"/>
        <w:left w:val="none" w:sz="0" w:space="0" w:color="auto"/>
        <w:bottom w:val="none" w:sz="0" w:space="0" w:color="auto"/>
        <w:right w:val="none" w:sz="0" w:space="0" w:color="auto"/>
      </w:divBdr>
      <w:divsChild>
        <w:div w:id="699623483">
          <w:marLeft w:val="0"/>
          <w:marRight w:val="0"/>
          <w:marTop w:val="0"/>
          <w:marBottom w:val="0"/>
          <w:divBdr>
            <w:top w:val="none" w:sz="0" w:space="0" w:color="auto"/>
            <w:left w:val="none" w:sz="0" w:space="0" w:color="auto"/>
            <w:bottom w:val="none" w:sz="0" w:space="0" w:color="auto"/>
            <w:right w:val="none" w:sz="0" w:space="0" w:color="auto"/>
          </w:divBdr>
          <w:divsChild>
            <w:div w:id="1712263871">
              <w:marLeft w:val="0"/>
              <w:marRight w:val="0"/>
              <w:marTop w:val="0"/>
              <w:marBottom w:val="0"/>
              <w:divBdr>
                <w:top w:val="none" w:sz="0" w:space="0" w:color="auto"/>
                <w:left w:val="none" w:sz="0" w:space="0" w:color="auto"/>
                <w:bottom w:val="none" w:sz="0" w:space="0" w:color="auto"/>
                <w:right w:val="none" w:sz="0" w:space="0" w:color="auto"/>
              </w:divBdr>
            </w:div>
          </w:divsChild>
        </w:div>
        <w:div w:id="1246839865">
          <w:marLeft w:val="0"/>
          <w:marRight w:val="0"/>
          <w:marTop w:val="0"/>
          <w:marBottom w:val="0"/>
          <w:divBdr>
            <w:top w:val="none" w:sz="0" w:space="0" w:color="auto"/>
            <w:left w:val="none" w:sz="0" w:space="0" w:color="auto"/>
            <w:bottom w:val="none" w:sz="0" w:space="0" w:color="auto"/>
            <w:right w:val="none" w:sz="0" w:space="0" w:color="auto"/>
          </w:divBdr>
          <w:divsChild>
            <w:div w:id="20056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1679">
      <w:bodyDiv w:val="1"/>
      <w:marLeft w:val="0"/>
      <w:marRight w:val="0"/>
      <w:marTop w:val="0"/>
      <w:marBottom w:val="0"/>
      <w:divBdr>
        <w:top w:val="none" w:sz="0" w:space="0" w:color="auto"/>
        <w:left w:val="none" w:sz="0" w:space="0" w:color="auto"/>
        <w:bottom w:val="none" w:sz="0" w:space="0" w:color="auto"/>
        <w:right w:val="none" w:sz="0" w:space="0" w:color="auto"/>
      </w:divBdr>
      <w:divsChild>
        <w:div w:id="1564218826">
          <w:marLeft w:val="0"/>
          <w:marRight w:val="0"/>
          <w:marTop w:val="0"/>
          <w:marBottom w:val="0"/>
          <w:divBdr>
            <w:top w:val="none" w:sz="0" w:space="0" w:color="auto"/>
            <w:left w:val="none" w:sz="0" w:space="0" w:color="auto"/>
            <w:bottom w:val="none" w:sz="0" w:space="0" w:color="auto"/>
            <w:right w:val="none" w:sz="0" w:space="0" w:color="auto"/>
          </w:divBdr>
        </w:div>
        <w:div w:id="2120179308">
          <w:marLeft w:val="0"/>
          <w:marRight w:val="0"/>
          <w:marTop w:val="0"/>
          <w:marBottom w:val="0"/>
          <w:divBdr>
            <w:top w:val="none" w:sz="0" w:space="0" w:color="auto"/>
            <w:left w:val="none" w:sz="0" w:space="0" w:color="auto"/>
            <w:bottom w:val="none" w:sz="0" w:space="0" w:color="auto"/>
            <w:right w:val="none" w:sz="0" w:space="0" w:color="auto"/>
          </w:divBdr>
        </w:div>
      </w:divsChild>
    </w:div>
    <w:div w:id="1901402838">
      <w:bodyDiv w:val="1"/>
      <w:marLeft w:val="0"/>
      <w:marRight w:val="0"/>
      <w:marTop w:val="0"/>
      <w:marBottom w:val="0"/>
      <w:divBdr>
        <w:top w:val="none" w:sz="0" w:space="0" w:color="auto"/>
        <w:left w:val="none" w:sz="0" w:space="0" w:color="auto"/>
        <w:bottom w:val="none" w:sz="0" w:space="0" w:color="auto"/>
        <w:right w:val="none" w:sz="0" w:space="0" w:color="auto"/>
      </w:divBdr>
      <w:divsChild>
        <w:div w:id="872619495">
          <w:marLeft w:val="0"/>
          <w:marRight w:val="0"/>
          <w:marTop w:val="0"/>
          <w:marBottom w:val="0"/>
          <w:divBdr>
            <w:top w:val="none" w:sz="0" w:space="0" w:color="auto"/>
            <w:left w:val="none" w:sz="0" w:space="0" w:color="auto"/>
            <w:bottom w:val="none" w:sz="0" w:space="0" w:color="auto"/>
            <w:right w:val="none" w:sz="0" w:space="0" w:color="auto"/>
          </w:divBdr>
        </w:div>
        <w:div w:id="1255673593">
          <w:marLeft w:val="0"/>
          <w:marRight w:val="0"/>
          <w:marTop w:val="0"/>
          <w:marBottom w:val="0"/>
          <w:divBdr>
            <w:top w:val="none" w:sz="0" w:space="0" w:color="auto"/>
            <w:left w:val="none" w:sz="0" w:space="0" w:color="auto"/>
            <w:bottom w:val="none" w:sz="0" w:space="0" w:color="auto"/>
            <w:right w:val="none" w:sz="0" w:space="0" w:color="auto"/>
          </w:divBdr>
          <w:divsChild>
            <w:div w:id="1954365376">
              <w:marLeft w:val="0"/>
              <w:marRight w:val="0"/>
              <w:marTop w:val="30"/>
              <w:marBottom w:val="30"/>
              <w:divBdr>
                <w:top w:val="none" w:sz="0" w:space="0" w:color="auto"/>
                <w:left w:val="none" w:sz="0" w:space="0" w:color="auto"/>
                <w:bottom w:val="none" w:sz="0" w:space="0" w:color="auto"/>
                <w:right w:val="none" w:sz="0" w:space="0" w:color="auto"/>
              </w:divBdr>
              <w:divsChild>
                <w:div w:id="221791436">
                  <w:marLeft w:val="0"/>
                  <w:marRight w:val="0"/>
                  <w:marTop w:val="0"/>
                  <w:marBottom w:val="0"/>
                  <w:divBdr>
                    <w:top w:val="none" w:sz="0" w:space="0" w:color="auto"/>
                    <w:left w:val="none" w:sz="0" w:space="0" w:color="auto"/>
                    <w:bottom w:val="none" w:sz="0" w:space="0" w:color="auto"/>
                    <w:right w:val="none" w:sz="0" w:space="0" w:color="auto"/>
                  </w:divBdr>
                  <w:divsChild>
                    <w:div w:id="245657114">
                      <w:marLeft w:val="0"/>
                      <w:marRight w:val="0"/>
                      <w:marTop w:val="0"/>
                      <w:marBottom w:val="0"/>
                      <w:divBdr>
                        <w:top w:val="none" w:sz="0" w:space="0" w:color="auto"/>
                        <w:left w:val="none" w:sz="0" w:space="0" w:color="auto"/>
                        <w:bottom w:val="none" w:sz="0" w:space="0" w:color="auto"/>
                        <w:right w:val="none" w:sz="0" w:space="0" w:color="auto"/>
                      </w:divBdr>
                    </w:div>
                  </w:divsChild>
                </w:div>
                <w:div w:id="1900699936">
                  <w:marLeft w:val="0"/>
                  <w:marRight w:val="0"/>
                  <w:marTop w:val="0"/>
                  <w:marBottom w:val="0"/>
                  <w:divBdr>
                    <w:top w:val="none" w:sz="0" w:space="0" w:color="auto"/>
                    <w:left w:val="none" w:sz="0" w:space="0" w:color="auto"/>
                    <w:bottom w:val="none" w:sz="0" w:space="0" w:color="auto"/>
                    <w:right w:val="none" w:sz="0" w:space="0" w:color="auto"/>
                  </w:divBdr>
                  <w:divsChild>
                    <w:div w:id="14308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5648">
          <w:marLeft w:val="0"/>
          <w:marRight w:val="0"/>
          <w:marTop w:val="0"/>
          <w:marBottom w:val="0"/>
          <w:divBdr>
            <w:top w:val="none" w:sz="0" w:space="0" w:color="auto"/>
            <w:left w:val="none" w:sz="0" w:space="0" w:color="auto"/>
            <w:bottom w:val="none" w:sz="0" w:space="0" w:color="auto"/>
            <w:right w:val="none" w:sz="0" w:space="0" w:color="auto"/>
          </w:divBdr>
        </w:div>
        <w:div w:id="1921524024">
          <w:marLeft w:val="0"/>
          <w:marRight w:val="0"/>
          <w:marTop w:val="0"/>
          <w:marBottom w:val="0"/>
          <w:divBdr>
            <w:top w:val="none" w:sz="0" w:space="0" w:color="auto"/>
            <w:left w:val="none" w:sz="0" w:space="0" w:color="auto"/>
            <w:bottom w:val="none" w:sz="0" w:space="0" w:color="auto"/>
            <w:right w:val="none" w:sz="0" w:space="0" w:color="auto"/>
          </w:divBdr>
          <w:divsChild>
            <w:div w:id="423234053">
              <w:marLeft w:val="0"/>
              <w:marRight w:val="0"/>
              <w:marTop w:val="30"/>
              <w:marBottom w:val="30"/>
              <w:divBdr>
                <w:top w:val="none" w:sz="0" w:space="0" w:color="auto"/>
                <w:left w:val="none" w:sz="0" w:space="0" w:color="auto"/>
                <w:bottom w:val="none" w:sz="0" w:space="0" w:color="auto"/>
                <w:right w:val="none" w:sz="0" w:space="0" w:color="auto"/>
              </w:divBdr>
              <w:divsChild>
                <w:div w:id="1165389973">
                  <w:marLeft w:val="0"/>
                  <w:marRight w:val="0"/>
                  <w:marTop w:val="0"/>
                  <w:marBottom w:val="0"/>
                  <w:divBdr>
                    <w:top w:val="none" w:sz="0" w:space="0" w:color="auto"/>
                    <w:left w:val="none" w:sz="0" w:space="0" w:color="auto"/>
                    <w:bottom w:val="none" w:sz="0" w:space="0" w:color="auto"/>
                    <w:right w:val="none" w:sz="0" w:space="0" w:color="auto"/>
                  </w:divBdr>
                  <w:divsChild>
                    <w:div w:id="974678008">
                      <w:marLeft w:val="0"/>
                      <w:marRight w:val="0"/>
                      <w:marTop w:val="0"/>
                      <w:marBottom w:val="0"/>
                      <w:divBdr>
                        <w:top w:val="none" w:sz="0" w:space="0" w:color="auto"/>
                        <w:left w:val="none" w:sz="0" w:space="0" w:color="auto"/>
                        <w:bottom w:val="none" w:sz="0" w:space="0" w:color="auto"/>
                        <w:right w:val="none" w:sz="0" w:space="0" w:color="auto"/>
                      </w:divBdr>
                    </w:div>
                  </w:divsChild>
                </w:div>
                <w:div w:id="1808889465">
                  <w:marLeft w:val="0"/>
                  <w:marRight w:val="0"/>
                  <w:marTop w:val="0"/>
                  <w:marBottom w:val="0"/>
                  <w:divBdr>
                    <w:top w:val="none" w:sz="0" w:space="0" w:color="auto"/>
                    <w:left w:val="none" w:sz="0" w:space="0" w:color="auto"/>
                    <w:bottom w:val="none" w:sz="0" w:space="0" w:color="auto"/>
                    <w:right w:val="none" w:sz="0" w:space="0" w:color="auto"/>
                  </w:divBdr>
                  <w:divsChild>
                    <w:div w:id="84918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9783">
          <w:marLeft w:val="0"/>
          <w:marRight w:val="0"/>
          <w:marTop w:val="0"/>
          <w:marBottom w:val="0"/>
          <w:divBdr>
            <w:top w:val="none" w:sz="0" w:space="0" w:color="auto"/>
            <w:left w:val="none" w:sz="0" w:space="0" w:color="auto"/>
            <w:bottom w:val="none" w:sz="0" w:space="0" w:color="auto"/>
            <w:right w:val="none" w:sz="0" w:space="0" w:color="auto"/>
          </w:divBdr>
          <w:divsChild>
            <w:div w:id="1733579514">
              <w:marLeft w:val="0"/>
              <w:marRight w:val="0"/>
              <w:marTop w:val="30"/>
              <w:marBottom w:val="30"/>
              <w:divBdr>
                <w:top w:val="none" w:sz="0" w:space="0" w:color="auto"/>
                <w:left w:val="none" w:sz="0" w:space="0" w:color="auto"/>
                <w:bottom w:val="none" w:sz="0" w:space="0" w:color="auto"/>
                <w:right w:val="none" w:sz="0" w:space="0" w:color="auto"/>
              </w:divBdr>
              <w:divsChild>
                <w:div w:id="708603623">
                  <w:marLeft w:val="0"/>
                  <w:marRight w:val="0"/>
                  <w:marTop w:val="0"/>
                  <w:marBottom w:val="0"/>
                  <w:divBdr>
                    <w:top w:val="none" w:sz="0" w:space="0" w:color="auto"/>
                    <w:left w:val="none" w:sz="0" w:space="0" w:color="auto"/>
                    <w:bottom w:val="none" w:sz="0" w:space="0" w:color="auto"/>
                    <w:right w:val="none" w:sz="0" w:space="0" w:color="auto"/>
                  </w:divBdr>
                  <w:divsChild>
                    <w:div w:id="345333344">
                      <w:marLeft w:val="0"/>
                      <w:marRight w:val="0"/>
                      <w:marTop w:val="0"/>
                      <w:marBottom w:val="0"/>
                      <w:divBdr>
                        <w:top w:val="none" w:sz="0" w:space="0" w:color="auto"/>
                        <w:left w:val="none" w:sz="0" w:space="0" w:color="auto"/>
                        <w:bottom w:val="none" w:sz="0" w:space="0" w:color="auto"/>
                        <w:right w:val="none" w:sz="0" w:space="0" w:color="auto"/>
                      </w:divBdr>
                    </w:div>
                  </w:divsChild>
                </w:div>
                <w:div w:id="854267818">
                  <w:marLeft w:val="0"/>
                  <w:marRight w:val="0"/>
                  <w:marTop w:val="0"/>
                  <w:marBottom w:val="0"/>
                  <w:divBdr>
                    <w:top w:val="none" w:sz="0" w:space="0" w:color="auto"/>
                    <w:left w:val="none" w:sz="0" w:space="0" w:color="auto"/>
                    <w:bottom w:val="none" w:sz="0" w:space="0" w:color="auto"/>
                    <w:right w:val="none" w:sz="0" w:space="0" w:color="auto"/>
                  </w:divBdr>
                  <w:divsChild>
                    <w:div w:id="8543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8585">
      <w:bodyDiv w:val="1"/>
      <w:marLeft w:val="0"/>
      <w:marRight w:val="0"/>
      <w:marTop w:val="0"/>
      <w:marBottom w:val="0"/>
      <w:divBdr>
        <w:top w:val="none" w:sz="0" w:space="0" w:color="auto"/>
        <w:left w:val="none" w:sz="0" w:space="0" w:color="auto"/>
        <w:bottom w:val="none" w:sz="0" w:space="0" w:color="auto"/>
        <w:right w:val="none" w:sz="0" w:space="0" w:color="auto"/>
      </w:divBdr>
      <w:divsChild>
        <w:div w:id="216867903">
          <w:marLeft w:val="0"/>
          <w:marRight w:val="0"/>
          <w:marTop w:val="0"/>
          <w:marBottom w:val="0"/>
          <w:divBdr>
            <w:top w:val="none" w:sz="0" w:space="0" w:color="auto"/>
            <w:left w:val="none" w:sz="0" w:space="0" w:color="auto"/>
            <w:bottom w:val="none" w:sz="0" w:space="0" w:color="auto"/>
            <w:right w:val="none" w:sz="0" w:space="0" w:color="auto"/>
          </w:divBdr>
        </w:div>
        <w:div w:id="423961239">
          <w:marLeft w:val="0"/>
          <w:marRight w:val="0"/>
          <w:marTop w:val="0"/>
          <w:marBottom w:val="0"/>
          <w:divBdr>
            <w:top w:val="none" w:sz="0" w:space="0" w:color="auto"/>
            <w:left w:val="none" w:sz="0" w:space="0" w:color="auto"/>
            <w:bottom w:val="none" w:sz="0" w:space="0" w:color="auto"/>
            <w:right w:val="none" w:sz="0" w:space="0" w:color="auto"/>
          </w:divBdr>
        </w:div>
        <w:div w:id="424349676">
          <w:marLeft w:val="0"/>
          <w:marRight w:val="0"/>
          <w:marTop w:val="0"/>
          <w:marBottom w:val="0"/>
          <w:divBdr>
            <w:top w:val="none" w:sz="0" w:space="0" w:color="auto"/>
            <w:left w:val="none" w:sz="0" w:space="0" w:color="auto"/>
            <w:bottom w:val="none" w:sz="0" w:space="0" w:color="auto"/>
            <w:right w:val="none" w:sz="0" w:space="0" w:color="auto"/>
          </w:divBdr>
        </w:div>
        <w:div w:id="884440033">
          <w:marLeft w:val="0"/>
          <w:marRight w:val="0"/>
          <w:marTop w:val="0"/>
          <w:marBottom w:val="0"/>
          <w:divBdr>
            <w:top w:val="none" w:sz="0" w:space="0" w:color="auto"/>
            <w:left w:val="none" w:sz="0" w:space="0" w:color="auto"/>
            <w:bottom w:val="none" w:sz="0" w:space="0" w:color="auto"/>
            <w:right w:val="none" w:sz="0" w:space="0" w:color="auto"/>
          </w:divBdr>
        </w:div>
        <w:div w:id="174105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B7AA289B0704AA573FE82617D2318" ma:contentTypeVersion="4" ma:contentTypeDescription="Create a new document." ma:contentTypeScope="" ma:versionID="b117bab4d02691e3a3ddc0871392888f">
  <xsd:schema xmlns:xsd="http://www.w3.org/2001/XMLSchema" xmlns:xs="http://www.w3.org/2001/XMLSchema" xmlns:p="http://schemas.microsoft.com/office/2006/metadata/properties" xmlns:ns2="efc077d4-1ec4-4405-8647-b48399bd4ae0" xmlns:ns3="84c45e7b-ccbc-4ad6-9837-dea57584a7c4" targetNamespace="http://schemas.microsoft.com/office/2006/metadata/properties" ma:root="true" ma:fieldsID="09042ba04e700b7e082ca56b8827fc7d" ns2:_="" ns3:_="">
    <xsd:import namespace="efc077d4-1ec4-4405-8647-b48399bd4ae0"/>
    <xsd:import namespace="84c45e7b-ccbc-4ad6-9837-dea57584a7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77d4-1ec4-4405-8647-b48399bd4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45e7b-ccbc-4ad6-9837-dea57584a7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23AB8-1DA2-4F95-8CAB-CCF472369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077d4-1ec4-4405-8647-b48399bd4ae0"/>
    <ds:schemaRef ds:uri="84c45e7b-ccbc-4ad6-9837-dea57584a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92375-8F61-41E8-B9C7-4DB622B377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3343AA-A631-4DC4-8285-FBD096C471A7}">
  <ds:schemaRefs>
    <ds:schemaRef ds:uri="http://schemas.openxmlformats.org/officeDocument/2006/bibliography"/>
  </ds:schemaRefs>
</ds:datastoreItem>
</file>

<file path=customXml/itemProps4.xml><?xml version="1.0" encoding="utf-8"?>
<ds:datastoreItem xmlns:ds="http://schemas.openxmlformats.org/officeDocument/2006/customXml" ds:itemID="{A76F0982-3294-4FF8-B0F5-2BBA16C1F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38</Pages>
  <Words>13104</Words>
  <Characters>74693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Cristian Tudose</dc:creator>
  <cp:keywords/>
  <dc:description/>
  <cp:lastModifiedBy>Oana Maria Aslan</cp:lastModifiedBy>
  <cp:revision>2</cp:revision>
  <dcterms:created xsi:type="dcterms:W3CDTF">2023-09-06T07:33:00Z</dcterms:created>
  <dcterms:modified xsi:type="dcterms:W3CDTF">2023-09-06T07:33:00Z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0x010100E65B7AA289B0704AA573FE82617D2318</vt:lpwstr>
  </property>
  <property fmtid="{D5CDD505-2E9C-101B-9397-08002B2CF9AE}" pid="11" name="MSIP_Label_6bd9ddd1-4d20-43f6-abfa-fc3c07406f94_Enabled">
    <vt:lpwstr>true</vt:lpwstr>
  </property>
  <property fmtid="{D5CDD505-2E9C-101B-9397-08002B2CF9AE}" pid="12" name="MSIP_Label_6bd9ddd1-4d20-43f6-abfa-fc3c07406f94_SetDate">
    <vt:lpwstr>2023-04-12T15:57:09Z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a8eb9fd6-4ecd-462e-bb58-18e33cd2f6f9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